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4F36" w14:textId="1D7E17AA" w:rsidR="00721A2D" w:rsidRPr="00CB5E46" w:rsidRDefault="00871513" w:rsidP="00871513">
      <w:pPr>
        <w:ind w:left="3600"/>
        <w:jc w:val="both"/>
        <w:rPr>
          <w:rFonts w:cs="Arial"/>
          <w:bCs/>
          <w:sz w:val="20"/>
          <w:szCs w:val="20"/>
        </w:rPr>
      </w:pPr>
      <w:r>
        <w:rPr>
          <w:rFonts w:cs="Arial"/>
          <w:bCs/>
          <w:sz w:val="20"/>
          <w:szCs w:val="20"/>
        </w:rPr>
        <w:t xml:space="preserve">      </w:t>
      </w:r>
      <w:r w:rsidR="00CB5E46">
        <w:rPr>
          <w:rFonts w:cs="Arial"/>
          <w:bCs/>
          <w:sz w:val="20"/>
          <w:szCs w:val="20"/>
        </w:rPr>
        <w:t xml:space="preserve">        </w:t>
      </w:r>
      <w:r w:rsidR="00CB5E46" w:rsidRPr="00CB5E46">
        <w:rPr>
          <w:rFonts w:cs="Arial"/>
          <w:bCs/>
          <w:sz w:val="20"/>
          <w:szCs w:val="20"/>
        </w:rPr>
        <w:t>P</w:t>
      </w:r>
      <w:r w:rsidR="00741138" w:rsidRPr="00CB5E46">
        <w:rPr>
          <w:rFonts w:cs="Arial"/>
          <w:bCs/>
          <w:sz w:val="20"/>
          <w:szCs w:val="20"/>
        </w:rPr>
        <w:t xml:space="preserve">irkimo sąlygų priedas </w:t>
      </w:r>
      <w:r w:rsidR="00D45C40">
        <w:rPr>
          <w:rFonts w:cs="Arial"/>
          <w:bCs/>
          <w:sz w:val="20"/>
          <w:szCs w:val="20"/>
        </w:rPr>
        <w:t>1</w:t>
      </w:r>
      <w:r w:rsidR="00EC2572">
        <w:rPr>
          <w:rFonts w:cs="Arial"/>
          <w:bCs/>
          <w:sz w:val="20"/>
          <w:szCs w:val="20"/>
        </w:rPr>
        <w:t>2</w:t>
      </w:r>
      <w:r w:rsidR="00741138" w:rsidRPr="00CB5E46">
        <w:rPr>
          <w:rFonts w:cs="Arial"/>
          <w:bCs/>
          <w:sz w:val="20"/>
          <w:szCs w:val="20"/>
        </w:rPr>
        <w:t xml:space="preserve"> / Annex </w:t>
      </w:r>
      <w:r w:rsidR="00D45C40">
        <w:rPr>
          <w:rFonts w:cs="Arial"/>
          <w:bCs/>
          <w:sz w:val="20"/>
          <w:szCs w:val="20"/>
        </w:rPr>
        <w:t>1</w:t>
      </w:r>
      <w:r w:rsidR="00EC2572">
        <w:rPr>
          <w:rFonts w:cs="Arial"/>
          <w:bCs/>
          <w:sz w:val="20"/>
          <w:szCs w:val="20"/>
        </w:rPr>
        <w:t>2</w:t>
      </w:r>
      <w:r w:rsidR="00741138" w:rsidRPr="00CB5E46">
        <w:rPr>
          <w:rFonts w:cs="Arial"/>
          <w:bCs/>
          <w:sz w:val="20"/>
          <w:szCs w:val="20"/>
        </w:rPr>
        <w:t xml:space="preserve"> to the Procurement Conditions</w:t>
      </w:r>
    </w:p>
    <w:p w14:paraId="4AF2C058" w14:textId="77777777" w:rsidR="00CB5E46" w:rsidRDefault="00CB5E46" w:rsidP="00CB5E46">
      <w:pPr>
        <w:jc w:val="center"/>
        <w:rPr>
          <w:rFonts w:cs="Arial"/>
          <w:b/>
          <w:sz w:val="20"/>
          <w:szCs w:val="20"/>
        </w:rPr>
      </w:pPr>
    </w:p>
    <w:p w14:paraId="796FB310" w14:textId="1498F4C4" w:rsidR="00721A2D" w:rsidRPr="00CB5E46" w:rsidRDefault="00741138" w:rsidP="00CB5E46">
      <w:pPr>
        <w:jc w:val="center"/>
        <w:rPr>
          <w:rFonts w:cs="Arial"/>
          <w:sz w:val="20"/>
          <w:szCs w:val="20"/>
        </w:rPr>
      </w:pPr>
      <w:r w:rsidRPr="00CB5E46">
        <w:rPr>
          <w:rFonts w:cs="Arial"/>
          <w:b/>
          <w:sz w:val="20"/>
          <w:szCs w:val="20"/>
        </w:rPr>
        <w:t>Demonstracijos instrukcija / Demonstration instruction</w:t>
      </w:r>
    </w:p>
    <w:tbl>
      <w:tblPr>
        <w:tblStyle w:val="TableGrid"/>
        <w:tblW w:w="0" w:type="auto"/>
        <w:jc w:val="center"/>
        <w:tblLook w:val="04A0" w:firstRow="1" w:lastRow="0" w:firstColumn="1" w:lastColumn="0" w:noHBand="0" w:noVBand="1"/>
      </w:tblPr>
      <w:tblGrid>
        <w:gridCol w:w="5265"/>
        <w:gridCol w:w="5265"/>
      </w:tblGrid>
      <w:tr w:rsidR="00721A2D" w:rsidRPr="00CB5E46" w14:paraId="26D9414D" w14:textId="77777777" w:rsidTr="00CB5E46">
        <w:trPr>
          <w:jc w:val="center"/>
        </w:trPr>
        <w:tc>
          <w:tcPr>
            <w:tcW w:w="5265" w:type="dxa"/>
            <w:shd w:val="clear" w:color="auto" w:fill="EDEDED"/>
          </w:tcPr>
          <w:p w14:paraId="79761704" w14:textId="77777777" w:rsidR="00721A2D" w:rsidRPr="00CB5E46" w:rsidRDefault="00741138" w:rsidP="00CB5E46">
            <w:pPr>
              <w:jc w:val="both"/>
              <w:rPr>
                <w:rFonts w:cs="Arial"/>
                <w:sz w:val="20"/>
                <w:szCs w:val="20"/>
              </w:rPr>
            </w:pPr>
            <w:r w:rsidRPr="00CB5E46">
              <w:rPr>
                <w:rFonts w:cs="Arial"/>
                <w:b/>
                <w:sz w:val="20"/>
                <w:szCs w:val="20"/>
              </w:rPr>
              <w:t>1. Bendrosios nuostatos</w:t>
            </w:r>
          </w:p>
        </w:tc>
        <w:tc>
          <w:tcPr>
            <w:tcW w:w="5265" w:type="dxa"/>
            <w:shd w:val="clear" w:color="auto" w:fill="EDEDED"/>
          </w:tcPr>
          <w:p w14:paraId="425DE2F9" w14:textId="77777777" w:rsidR="00721A2D" w:rsidRPr="00CB5E46" w:rsidRDefault="00741138" w:rsidP="00CB5E46">
            <w:pPr>
              <w:jc w:val="both"/>
              <w:rPr>
                <w:rFonts w:cs="Arial"/>
                <w:sz w:val="20"/>
                <w:szCs w:val="20"/>
              </w:rPr>
            </w:pPr>
            <w:r w:rsidRPr="00CB5E46">
              <w:rPr>
                <w:rFonts w:cs="Arial"/>
                <w:b/>
                <w:sz w:val="20"/>
                <w:szCs w:val="20"/>
              </w:rPr>
              <w:t>1. General provisions</w:t>
            </w:r>
          </w:p>
        </w:tc>
      </w:tr>
      <w:tr w:rsidR="00BE03D9" w:rsidRPr="00CB5E46" w14:paraId="373FC880" w14:textId="77777777" w:rsidTr="00CB5E46">
        <w:trPr>
          <w:jc w:val="center"/>
        </w:trPr>
        <w:tc>
          <w:tcPr>
            <w:tcW w:w="5265" w:type="dxa"/>
          </w:tcPr>
          <w:p w14:paraId="22E41B8D" w14:textId="75306058" w:rsidR="00BE03D9" w:rsidRPr="00CB5E46" w:rsidRDefault="00BE03D9" w:rsidP="00CB5E46">
            <w:pPr>
              <w:pStyle w:val="ListParagraph"/>
              <w:numPr>
                <w:ilvl w:val="1"/>
                <w:numId w:val="4"/>
              </w:numPr>
              <w:jc w:val="both"/>
              <w:rPr>
                <w:rFonts w:cs="Arial"/>
                <w:sz w:val="20"/>
                <w:szCs w:val="20"/>
              </w:rPr>
            </w:pPr>
            <w:r w:rsidRPr="00CB5E46">
              <w:rPr>
                <w:rFonts w:cs="Arial"/>
                <w:sz w:val="20"/>
                <w:szCs w:val="20"/>
              </w:rPr>
              <w:t xml:space="preserve">Demonstracinės versijos teikimo tvarka: </w:t>
            </w:r>
          </w:p>
          <w:p w14:paraId="13F41E05" w14:textId="7182F6AD" w:rsidR="00BE03D9" w:rsidRPr="00CB5E46" w:rsidRDefault="00BE03D9" w:rsidP="00CB5E46">
            <w:pPr>
              <w:jc w:val="both"/>
              <w:rPr>
                <w:rFonts w:cs="Arial"/>
                <w:b/>
                <w:sz w:val="20"/>
                <w:szCs w:val="20"/>
              </w:rPr>
            </w:pPr>
            <w:r w:rsidRPr="00CB5E46">
              <w:rPr>
                <w:rFonts w:cs="Arial"/>
                <w:sz w:val="20"/>
                <w:szCs w:val="20"/>
              </w:rPr>
              <w:t>Tiekėjas</w:t>
            </w:r>
            <w:r w:rsidR="00A10E35" w:rsidRPr="00CB5E46">
              <w:rPr>
                <w:rFonts w:cs="Arial"/>
                <w:sz w:val="20"/>
                <w:szCs w:val="20"/>
              </w:rPr>
              <w:t>, norintis gauti B1, B2</w:t>
            </w:r>
            <w:r w:rsidR="00A96EAE" w:rsidRPr="00CB5E46">
              <w:rPr>
                <w:rFonts w:cs="Arial"/>
                <w:sz w:val="20"/>
                <w:szCs w:val="20"/>
              </w:rPr>
              <w:t xml:space="preserve"> (pagal SPS</w:t>
            </w:r>
            <w:r w:rsidR="009F4F57" w:rsidRPr="00CB5E46">
              <w:rPr>
                <w:rFonts w:cs="Arial"/>
                <w:sz w:val="20"/>
                <w:szCs w:val="20"/>
              </w:rPr>
              <w:t xml:space="preserve"> </w:t>
            </w:r>
            <w:r w:rsidR="00A96EAE" w:rsidRPr="00CB5E46">
              <w:rPr>
                <w:rFonts w:cs="Arial"/>
                <w:sz w:val="20"/>
                <w:szCs w:val="20"/>
              </w:rPr>
              <w:t>Pried</w:t>
            </w:r>
            <w:r w:rsidR="00D50327" w:rsidRPr="00CB5E46">
              <w:rPr>
                <w:rFonts w:cs="Arial"/>
                <w:sz w:val="20"/>
                <w:szCs w:val="20"/>
              </w:rPr>
              <w:t xml:space="preserve">ą Nr. </w:t>
            </w:r>
            <w:r w:rsidR="006579AE">
              <w:rPr>
                <w:rFonts w:cs="Arial"/>
                <w:sz w:val="20"/>
                <w:szCs w:val="20"/>
              </w:rPr>
              <w:t>1</w:t>
            </w:r>
            <w:r w:rsidR="00A8623A">
              <w:rPr>
                <w:rFonts w:cs="Arial"/>
                <w:sz w:val="20"/>
                <w:szCs w:val="20"/>
              </w:rPr>
              <w:t>1</w:t>
            </w:r>
            <w:r w:rsidR="00D50327" w:rsidRPr="00CB5E46">
              <w:rPr>
                <w:rFonts w:cs="Arial"/>
                <w:sz w:val="20"/>
                <w:szCs w:val="20"/>
              </w:rPr>
              <w:t xml:space="preserve">) </w:t>
            </w:r>
            <w:r w:rsidR="009F4F57" w:rsidRPr="00CB5E46">
              <w:rPr>
                <w:rFonts w:cs="Arial"/>
                <w:sz w:val="20"/>
                <w:szCs w:val="20"/>
              </w:rPr>
              <w:t>pasi</w:t>
            </w:r>
            <w:r w:rsidR="009F4F57" w:rsidRPr="00CB5E46">
              <w:rPr>
                <w:rFonts w:cs="Arial"/>
                <w:sz w:val="20"/>
                <w:szCs w:val="20"/>
                <w:lang w:val="lt-LT"/>
              </w:rPr>
              <w:t xml:space="preserve">ūlymo </w:t>
            </w:r>
            <w:r w:rsidR="009F4F57" w:rsidRPr="00CB5E46">
              <w:rPr>
                <w:rFonts w:cs="Arial"/>
                <w:sz w:val="20"/>
                <w:szCs w:val="20"/>
              </w:rPr>
              <w:t>vertinimo balus</w:t>
            </w:r>
            <w:r w:rsidRPr="00CB5E46">
              <w:rPr>
                <w:rFonts w:cs="Arial"/>
                <w:sz w:val="20"/>
                <w:szCs w:val="20"/>
              </w:rPr>
              <w:t xml:space="preserve"> kartu su pasiūlymu (pirminiu pasiūlymu) turi pateikti demonstracijos versijos rezultatus.</w:t>
            </w:r>
          </w:p>
        </w:tc>
        <w:tc>
          <w:tcPr>
            <w:tcW w:w="5265" w:type="dxa"/>
          </w:tcPr>
          <w:p w14:paraId="6029D2BD" w14:textId="77777777" w:rsidR="00767F80" w:rsidRPr="00CB5E46" w:rsidRDefault="00767F80" w:rsidP="00CB5E46">
            <w:pPr>
              <w:jc w:val="both"/>
              <w:rPr>
                <w:rFonts w:cs="Arial"/>
                <w:bCs/>
                <w:sz w:val="20"/>
                <w:szCs w:val="20"/>
              </w:rPr>
            </w:pPr>
            <w:r w:rsidRPr="00CB5E46">
              <w:rPr>
                <w:rFonts w:cs="Arial"/>
                <w:bCs/>
                <w:sz w:val="20"/>
                <w:szCs w:val="20"/>
              </w:rPr>
              <w:t>1.1. Procedure for submitting a demonstration version:</w:t>
            </w:r>
          </w:p>
          <w:p w14:paraId="1730692E" w14:textId="14C73208" w:rsidR="00BE03D9" w:rsidRPr="00CB5E46" w:rsidRDefault="00767F80" w:rsidP="00CB5E46">
            <w:pPr>
              <w:jc w:val="both"/>
              <w:rPr>
                <w:rFonts w:cs="Arial"/>
                <w:b/>
                <w:sz w:val="20"/>
                <w:szCs w:val="20"/>
              </w:rPr>
            </w:pPr>
            <w:r w:rsidRPr="00CB5E46">
              <w:rPr>
                <w:rFonts w:cs="Arial"/>
                <w:bCs/>
                <w:sz w:val="20"/>
                <w:szCs w:val="20"/>
              </w:rPr>
              <w:t xml:space="preserve">A supplier wishing to receive B1, B2 (according to SPS Annex No. </w:t>
            </w:r>
            <w:r w:rsidR="001F397B">
              <w:rPr>
                <w:rFonts w:cs="Arial"/>
                <w:bCs/>
                <w:sz w:val="20"/>
                <w:szCs w:val="20"/>
              </w:rPr>
              <w:t>1</w:t>
            </w:r>
            <w:r w:rsidR="00A8623A">
              <w:rPr>
                <w:rFonts w:cs="Arial"/>
                <w:bCs/>
                <w:sz w:val="20"/>
                <w:szCs w:val="20"/>
              </w:rPr>
              <w:t>1</w:t>
            </w:r>
            <w:r w:rsidRPr="00CB5E46">
              <w:rPr>
                <w:rFonts w:cs="Arial"/>
                <w:bCs/>
                <w:sz w:val="20"/>
                <w:szCs w:val="20"/>
              </w:rPr>
              <w:t>) bid evaluation scores must submit the results of the demonstration version together with the bid (initial bid).</w:t>
            </w:r>
          </w:p>
        </w:tc>
      </w:tr>
      <w:tr w:rsidR="00D50327" w:rsidRPr="00CB5E46" w14:paraId="74F7AF5E" w14:textId="77777777" w:rsidTr="00CB5E46">
        <w:trPr>
          <w:jc w:val="center"/>
        </w:trPr>
        <w:tc>
          <w:tcPr>
            <w:tcW w:w="5265" w:type="dxa"/>
          </w:tcPr>
          <w:p w14:paraId="3EEA14F4" w14:textId="27EDD347" w:rsidR="00D50327" w:rsidRPr="00CB5E46" w:rsidRDefault="00D50327" w:rsidP="00CB5E46">
            <w:pPr>
              <w:pStyle w:val="ListParagraph"/>
              <w:numPr>
                <w:ilvl w:val="1"/>
                <w:numId w:val="4"/>
              </w:numPr>
              <w:ind w:left="32" w:hanging="32"/>
              <w:jc w:val="both"/>
              <w:rPr>
                <w:rFonts w:cs="Arial"/>
                <w:sz w:val="20"/>
                <w:szCs w:val="20"/>
              </w:rPr>
            </w:pPr>
            <w:r w:rsidRPr="00CB5E46">
              <w:rPr>
                <w:rFonts w:cs="Arial"/>
                <w:sz w:val="20"/>
                <w:szCs w:val="20"/>
              </w:rPr>
              <w:t>Laiko period</w:t>
            </w:r>
            <w:r w:rsidR="00B06275" w:rsidRPr="00CB5E46">
              <w:rPr>
                <w:rFonts w:cs="Arial"/>
                <w:sz w:val="20"/>
                <w:szCs w:val="20"/>
              </w:rPr>
              <w:t>as apimantis</w:t>
            </w:r>
            <w:r w:rsidRPr="00CB5E46">
              <w:rPr>
                <w:rFonts w:cs="Arial"/>
                <w:sz w:val="20"/>
                <w:szCs w:val="20"/>
              </w:rPr>
              <w:t xml:space="preserve"> 1 (</w:t>
            </w:r>
            <w:r w:rsidRPr="00CB5E46">
              <w:rPr>
                <w:rFonts w:cs="Arial"/>
                <w:sz w:val="20"/>
                <w:szCs w:val="20"/>
                <w:lang w:val="lt-LT"/>
              </w:rPr>
              <w:t>vien</w:t>
            </w:r>
            <w:r w:rsidR="00B06275" w:rsidRPr="00CB5E46">
              <w:rPr>
                <w:rFonts w:cs="Arial"/>
                <w:sz w:val="20"/>
                <w:szCs w:val="20"/>
                <w:lang w:val="lt-LT"/>
              </w:rPr>
              <w:t>ą</w:t>
            </w:r>
            <w:r w:rsidRPr="00CB5E46">
              <w:rPr>
                <w:rFonts w:cs="Arial"/>
                <w:sz w:val="20"/>
                <w:szCs w:val="20"/>
                <w:lang w:val="lt-LT"/>
              </w:rPr>
              <w:t xml:space="preserve">) </w:t>
            </w:r>
            <w:r w:rsidR="00B06275" w:rsidRPr="00CB5E46">
              <w:rPr>
                <w:rFonts w:cs="Arial"/>
                <w:sz w:val="20"/>
                <w:szCs w:val="20"/>
                <w:lang w:val="lt-LT"/>
              </w:rPr>
              <w:t>mėnesį bus nurodamas potencialiems tiekėjams po paraiškų etapo – atitikus kvalifikacinius reikalavimus.</w:t>
            </w:r>
          </w:p>
        </w:tc>
        <w:tc>
          <w:tcPr>
            <w:tcW w:w="5265" w:type="dxa"/>
          </w:tcPr>
          <w:p w14:paraId="3532B287" w14:textId="4B789E3C" w:rsidR="00D50327" w:rsidRPr="00CB5E46" w:rsidRDefault="00767F80" w:rsidP="00CB5E46">
            <w:pPr>
              <w:jc w:val="both"/>
              <w:rPr>
                <w:rFonts w:cs="Arial"/>
                <w:bCs/>
                <w:sz w:val="20"/>
                <w:szCs w:val="20"/>
              </w:rPr>
            </w:pPr>
            <w:r w:rsidRPr="00CB5E46">
              <w:rPr>
                <w:rFonts w:cs="Arial"/>
                <w:bCs/>
                <w:sz w:val="20"/>
                <w:szCs w:val="20"/>
              </w:rPr>
              <w:t>1.2. A time period covering 1 (one) month will be indicated to potential suppliers after the application stage - upon meeting the qualification requirements.a</w:t>
            </w:r>
          </w:p>
        </w:tc>
      </w:tr>
      <w:tr w:rsidR="00721A2D" w:rsidRPr="00CB5E46" w14:paraId="2C7E690D" w14:textId="77777777" w:rsidTr="00CB5E46">
        <w:trPr>
          <w:jc w:val="center"/>
        </w:trPr>
        <w:tc>
          <w:tcPr>
            <w:tcW w:w="5265" w:type="dxa"/>
          </w:tcPr>
          <w:p w14:paraId="77AAEE74" w14:textId="22DCDBB3" w:rsidR="00721A2D" w:rsidRPr="00CB5E46" w:rsidRDefault="00741138" w:rsidP="00CB5E46">
            <w:pPr>
              <w:pStyle w:val="ListParagraph"/>
              <w:numPr>
                <w:ilvl w:val="1"/>
                <w:numId w:val="4"/>
              </w:numPr>
              <w:ind w:left="32" w:hanging="32"/>
              <w:jc w:val="both"/>
              <w:rPr>
                <w:rFonts w:cs="Arial"/>
                <w:sz w:val="20"/>
                <w:szCs w:val="20"/>
              </w:rPr>
            </w:pPr>
            <w:r w:rsidRPr="00CB5E46">
              <w:rPr>
                <w:rFonts w:cs="Arial"/>
                <w:sz w:val="20"/>
                <w:szCs w:val="20"/>
              </w:rPr>
              <w:t>Šiame priede nustatoma tiekėjų pateikiamų vėjo ir saulės elektrinių generacijos prognozių demonstracijos tvarka. Demonstracijos rezultatai naudojami pasiūlymų vertinimo punktams B1 ir B2 įvertinti pagal pasiūlymų vertinimo metodiką.</w:t>
            </w:r>
          </w:p>
        </w:tc>
        <w:tc>
          <w:tcPr>
            <w:tcW w:w="5265" w:type="dxa"/>
          </w:tcPr>
          <w:p w14:paraId="738ABCEB" w14:textId="08FC8566" w:rsidR="00721A2D" w:rsidRPr="00CB5E46" w:rsidRDefault="00767F80" w:rsidP="00CB5E46">
            <w:pPr>
              <w:pStyle w:val="ListParagraph"/>
              <w:tabs>
                <w:tab w:val="left" w:pos="436"/>
              </w:tabs>
              <w:ind w:left="11"/>
              <w:jc w:val="both"/>
              <w:rPr>
                <w:rFonts w:cs="Arial"/>
                <w:sz w:val="20"/>
                <w:szCs w:val="20"/>
              </w:rPr>
            </w:pPr>
            <w:r w:rsidRPr="00CB5E46">
              <w:rPr>
                <w:rFonts w:cs="Arial"/>
                <w:sz w:val="20"/>
                <w:szCs w:val="20"/>
              </w:rPr>
              <w:t>1.3.</w:t>
            </w:r>
            <w:r w:rsidR="00741138" w:rsidRPr="00CB5E46">
              <w:rPr>
                <w:rFonts w:cs="Arial"/>
                <w:sz w:val="20"/>
                <w:szCs w:val="20"/>
              </w:rPr>
              <w:t>This Annex sets out the procedure for the demonstration of wind and solar power generation forecasts submitted by suppliers. The results of the demonstration shall be used to evaluate evaluation items B1 and B2 in accordance with the tender evaluation methodology.</w:t>
            </w:r>
          </w:p>
        </w:tc>
      </w:tr>
      <w:tr w:rsidR="00721A2D" w:rsidRPr="00CB5E46" w14:paraId="40592795" w14:textId="77777777" w:rsidTr="00CB5E46">
        <w:trPr>
          <w:jc w:val="center"/>
        </w:trPr>
        <w:tc>
          <w:tcPr>
            <w:tcW w:w="5265" w:type="dxa"/>
          </w:tcPr>
          <w:p w14:paraId="0890DDEF" w14:textId="0BF64A56" w:rsidR="00721A2D" w:rsidRPr="00CB5E46" w:rsidRDefault="00767F80" w:rsidP="00CB5E46">
            <w:pPr>
              <w:pStyle w:val="ListParagraph"/>
              <w:numPr>
                <w:ilvl w:val="1"/>
                <w:numId w:val="4"/>
              </w:numPr>
              <w:ind w:left="32" w:hanging="32"/>
              <w:jc w:val="both"/>
              <w:rPr>
                <w:rFonts w:cs="Arial"/>
                <w:sz w:val="20"/>
                <w:szCs w:val="20"/>
              </w:rPr>
            </w:pPr>
            <w:r w:rsidRPr="00CB5E46">
              <w:rPr>
                <w:rFonts w:cs="Arial"/>
                <w:sz w:val="20"/>
                <w:szCs w:val="20"/>
              </w:rPr>
              <w:t>D</w:t>
            </w:r>
            <w:r w:rsidR="00741138" w:rsidRPr="00CB5E46">
              <w:rPr>
                <w:rFonts w:cs="Arial"/>
                <w:sz w:val="20"/>
                <w:szCs w:val="20"/>
              </w:rPr>
              <w:t>emonstracija skirta tik pasiūlymų vertinimui. Demonstracijos vykdymas nelaikomas sutarties vykdymo etapu ar paslaugų teikimo pradžia.</w:t>
            </w:r>
          </w:p>
        </w:tc>
        <w:tc>
          <w:tcPr>
            <w:tcW w:w="5265" w:type="dxa"/>
          </w:tcPr>
          <w:p w14:paraId="389ED4DE" w14:textId="7863DA0D" w:rsidR="00721A2D" w:rsidRPr="00CB5E46" w:rsidRDefault="00E76704" w:rsidP="00CB5E46">
            <w:pPr>
              <w:jc w:val="both"/>
              <w:rPr>
                <w:rFonts w:cs="Arial"/>
                <w:sz w:val="20"/>
                <w:szCs w:val="20"/>
              </w:rPr>
            </w:pPr>
            <w:r w:rsidRPr="00CB5E46">
              <w:rPr>
                <w:rFonts w:cs="Arial"/>
                <w:sz w:val="20"/>
                <w:szCs w:val="20"/>
              </w:rPr>
              <w:t>1.</w:t>
            </w:r>
            <w:r w:rsidR="00767F80" w:rsidRPr="00CB5E46">
              <w:rPr>
                <w:rFonts w:cs="Arial"/>
                <w:sz w:val="20"/>
                <w:szCs w:val="20"/>
              </w:rPr>
              <w:t>4.</w:t>
            </w:r>
            <w:r w:rsidR="00741138" w:rsidRPr="00CB5E46">
              <w:rPr>
                <w:rFonts w:cs="Arial"/>
                <w:sz w:val="20"/>
                <w:szCs w:val="20"/>
              </w:rPr>
              <w:t>The demonstration is intended solely for the evaluation of tender offers. The performance of the demonstration shall not be considered as a stage of contract execution or as the commencement of service provision.</w:t>
            </w:r>
          </w:p>
        </w:tc>
      </w:tr>
      <w:tr w:rsidR="00721A2D" w:rsidRPr="00CB5E46" w14:paraId="6428DDD4" w14:textId="77777777" w:rsidTr="00CB5E46">
        <w:trPr>
          <w:jc w:val="center"/>
        </w:trPr>
        <w:tc>
          <w:tcPr>
            <w:tcW w:w="5265" w:type="dxa"/>
          </w:tcPr>
          <w:p w14:paraId="37505E4A" w14:textId="04CDBD18" w:rsidR="00721A2D" w:rsidRPr="00CB5E46" w:rsidRDefault="00741138" w:rsidP="00CB5E46">
            <w:pPr>
              <w:pStyle w:val="ListParagraph"/>
              <w:numPr>
                <w:ilvl w:val="1"/>
                <w:numId w:val="4"/>
              </w:numPr>
              <w:ind w:left="32" w:hanging="32"/>
              <w:jc w:val="both"/>
              <w:rPr>
                <w:rFonts w:cs="Arial"/>
                <w:sz w:val="20"/>
                <w:szCs w:val="20"/>
              </w:rPr>
            </w:pPr>
            <w:r w:rsidRPr="00CB5E46">
              <w:rPr>
                <w:rFonts w:cs="Arial"/>
                <w:sz w:val="20"/>
                <w:szCs w:val="20"/>
              </w:rPr>
              <w:t xml:space="preserve">Prie šio priedo pridedamas atskiras dokumentas – </w:t>
            </w:r>
            <w:r w:rsidR="00A8623A">
              <w:rPr>
                <w:rFonts w:cs="Arial"/>
                <w:sz w:val="20"/>
                <w:szCs w:val="20"/>
              </w:rPr>
              <w:t xml:space="preserve">SPS </w:t>
            </w:r>
            <w:r w:rsidRPr="00CB5E46">
              <w:rPr>
                <w:rFonts w:cs="Arial"/>
                <w:sz w:val="20"/>
                <w:szCs w:val="20"/>
              </w:rPr>
              <w:t xml:space="preserve">Priedas </w:t>
            </w:r>
            <w:r w:rsidR="00A8623A">
              <w:rPr>
                <w:rFonts w:cs="Arial"/>
                <w:sz w:val="20"/>
                <w:szCs w:val="20"/>
              </w:rPr>
              <w:t>12.2.</w:t>
            </w:r>
            <w:r w:rsidRPr="00CB5E46">
              <w:rPr>
                <w:rFonts w:cs="Arial"/>
                <w:sz w:val="20"/>
                <w:szCs w:val="20"/>
              </w:rPr>
              <w:t xml:space="preserve"> „Demonstracijos vertinimo lentelė“ / Annex 8.1 “Demonstration evaluation table”. Ši lentelė naudojama B1 ir B2 vertinimo punktų balams apskaičiuoti pagal demonstracijos metu nustatytas nMAE reikšmes.</w:t>
            </w:r>
          </w:p>
        </w:tc>
        <w:tc>
          <w:tcPr>
            <w:tcW w:w="5265" w:type="dxa"/>
          </w:tcPr>
          <w:p w14:paraId="213E0A96" w14:textId="0DC2DF33" w:rsidR="00721A2D" w:rsidRPr="00CB5E46" w:rsidRDefault="00E76704" w:rsidP="00CB5E46">
            <w:pPr>
              <w:jc w:val="both"/>
              <w:rPr>
                <w:rFonts w:cs="Arial"/>
                <w:sz w:val="20"/>
                <w:szCs w:val="20"/>
              </w:rPr>
            </w:pPr>
            <w:r w:rsidRPr="00CB5E46">
              <w:rPr>
                <w:rFonts w:cs="Arial"/>
                <w:sz w:val="20"/>
                <w:szCs w:val="20"/>
              </w:rPr>
              <w:t>1.</w:t>
            </w:r>
            <w:r w:rsidR="00767F80" w:rsidRPr="00CB5E46">
              <w:rPr>
                <w:rFonts w:cs="Arial"/>
                <w:sz w:val="20"/>
                <w:szCs w:val="20"/>
              </w:rPr>
              <w:t>5</w:t>
            </w:r>
            <w:r w:rsidRPr="00CB5E46">
              <w:rPr>
                <w:rFonts w:cs="Arial"/>
                <w:sz w:val="20"/>
                <w:szCs w:val="20"/>
              </w:rPr>
              <w:t xml:space="preserve">. </w:t>
            </w:r>
            <w:r w:rsidR="00741138" w:rsidRPr="00CB5E46">
              <w:rPr>
                <w:rFonts w:cs="Arial"/>
                <w:sz w:val="20"/>
                <w:szCs w:val="20"/>
              </w:rPr>
              <w:t xml:space="preserve">A separate document is attached to this Annex – </w:t>
            </w:r>
            <w:r w:rsidR="00A8623A">
              <w:rPr>
                <w:rFonts w:cs="Arial"/>
                <w:sz w:val="20"/>
                <w:szCs w:val="20"/>
              </w:rPr>
              <w:t xml:space="preserve">SPC </w:t>
            </w:r>
            <w:r w:rsidR="00741138" w:rsidRPr="00CB5E46">
              <w:rPr>
                <w:rFonts w:cs="Arial"/>
                <w:sz w:val="20"/>
                <w:szCs w:val="20"/>
              </w:rPr>
              <w:t xml:space="preserve">Annex </w:t>
            </w:r>
            <w:r w:rsidR="00A8623A">
              <w:rPr>
                <w:rFonts w:cs="Arial"/>
                <w:sz w:val="20"/>
                <w:szCs w:val="20"/>
              </w:rPr>
              <w:t>12</w:t>
            </w:r>
            <w:r w:rsidR="00741138" w:rsidRPr="00CB5E46">
              <w:rPr>
                <w:rFonts w:cs="Arial"/>
                <w:sz w:val="20"/>
                <w:szCs w:val="20"/>
              </w:rPr>
              <w:t>.</w:t>
            </w:r>
            <w:r w:rsidR="00A8623A">
              <w:rPr>
                <w:rFonts w:cs="Arial"/>
                <w:sz w:val="20"/>
                <w:szCs w:val="20"/>
              </w:rPr>
              <w:t>2.</w:t>
            </w:r>
            <w:r w:rsidR="00741138" w:rsidRPr="00CB5E46">
              <w:rPr>
                <w:rFonts w:cs="Arial"/>
                <w:sz w:val="20"/>
                <w:szCs w:val="20"/>
              </w:rPr>
              <w:t xml:space="preserve"> “Demonstration evaluation table” / Priedas 8.1 „Demonstracijos vertinimo lentelė“. This table shall be used to calculate the points under evaluation items B1 and B2 based on the nMAE values determined during the demonstration.</w:t>
            </w:r>
          </w:p>
        </w:tc>
      </w:tr>
      <w:tr w:rsidR="00721A2D" w:rsidRPr="00CB5E46" w14:paraId="190100F5" w14:textId="77777777" w:rsidTr="00CB5E46">
        <w:trPr>
          <w:jc w:val="center"/>
        </w:trPr>
        <w:tc>
          <w:tcPr>
            <w:tcW w:w="5265" w:type="dxa"/>
            <w:shd w:val="clear" w:color="auto" w:fill="EDEDED"/>
          </w:tcPr>
          <w:p w14:paraId="0ED2F6D8" w14:textId="77777777" w:rsidR="00721A2D" w:rsidRPr="00CB5E46" w:rsidRDefault="00741138" w:rsidP="00CB5E46">
            <w:pPr>
              <w:jc w:val="both"/>
              <w:rPr>
                <w:rFonts w:cs="Arial"/>
                <w:sz w:val="20"/>
                <w:szCs w:val="20"/>
              </w:rPr>
            </w:pPr>
            <w:r w:rsidRPr="00CB5E46">
              <w:rPr>
                <w:rFonts w:cs="Arial"/>
                <w:b/>
                <w:sz w:val="20"/>
                <w:szCs w:val="20"/>
              </w:rPr>
              <w:t>2. Demonstracijos modelis</w:t>
            </w:r>
          </w:p>
        </w:tc>
        <w:tc>
          <w:tcPr>
            <w:tcW w:w="5265" w:type="dxa"/>
            <w:shd w:val="clear" w:color="auto" w:fill="EDEDED"/>
          </w:tcPr>
          <w:p w14:paraId="4E54745D" w14:textId="77777777" w:rsidR="00721A2D" w:rsidRPr="00CB5E46" w:rsidRDefault="00741138" w:rsidP="00CB5E46">
            <w:pPr>
              <w:jc w:val="both"/>
              <w:rPr>
                <w:rFonts w:cs="Arial"/>
                <w:sz w:val="20"/>
                <w:szCs w:val="20"/>
              </w:rPr>
            </w:pPr>
            <w:r w:rsidRPr="00CB5E46">
              <w:rPr>
                <w:rFonts w:cs="Arial"/>
                <w:b/>
                <w:sz w:val="20"/>
                <w:szCs w:val="20"/>
              </w:rPr>
              <w:t>2. Demonstration model</w:t>
            </w:r>
          </w:p>
        </w:tc>
      </w:tr>
      <w:tr w:rsidR="00721A2D" w:rsidRPr="00CB5E46" w14:paraId="3A9FB40A" w14:textId="77777777" w:rsidTr="00CB5E46">
        <w:trPr>
          <w:jc w:val="center"/>
        </w:trPr>
        <w:tc>
          <w:tcPr>
            <w:tcW w:w="5265" w:type="dxa"/>
          </w:tcPr>
          <w:p w14:paraId="568E836E" w14:textId="12FE14CD" w:rsidR="00721A2D" w:rsidRPr="00CB5E46" w:rsidRDefault="00767F80" w:rsidP="00CB5E46">
            <w:pPr>
              <w:jc w:val="both"/>
              <w:rPr>
                <w:rFonts w:cs="Arial"/>
                <w:sz w:val="20"/>
                <w:szCs w:val="20"/>
              </w:rPr>
            </w:pPr>
            <w:r w:rsidRPr="00CB5E46">
              <w:rPr>
                <w:rFonts w:cs="Arial"/>
                <w:sz w:val="20"/>
                <w:szCs w:val="20"/>
              </w:rPr>
              <w:t xml:space="preserve">2.1. </w:t>
            </w:r>
            <w:r w:rsidR="00741138" w:rsidRPr="00CB5E46">
              <w:rPr>
                <w:rFonts w:cs="Arial"/>
                <w:sz w:val="20"/>
                <w:szCs w:val="20"/>
              </w:rPr>
              <w:t xml:space="preserve">Demonstracija vykdoma naudojant Pirkėjo pateiktą istorinį </w:t>
            </w:r>
            <w:r w:rsidR="002B25CE" w:rsidRPr="00CB5E46">
              <w:rPr>
                <w:rFonts w:cs="Arial"/>
                <w:sz w:val="20"/>
                <w:szCs w:val="20"/>
              </w:rPr>
              <w:t>1 (</w:t>
            </w:r>
            <w:r w:rsidR="00741138" w:rsidRPr="00CB5E46">
              <w:rPr>
                <w:rFonts w:cs="Arial"/>
                <w:sz w:val="20"/>
                <w:szCs w:val="20"/>
              </w:rPr>
              <w:t>vieno</w:t>
            </w:r>
            <w:r w:rsidR="002B25CE" w:rsidRPr="00CB5E46">
              <w:rPr>
                <w:rFonts w:cs="Arial"/>
                <w:sz w:val="20"/>
                <w:szCs w:val="20"/>
              </w:rPr>
              <w:t xml:space="preserve">) </w:t>
            </w:r>
            <w:r w:rsidR="00741138" w:rsidRPr="00CB5E46">
              <w:rPr>
                <w:rFonts w:cs="Arial"/>
                <w:sz w:val="20"/>
                <w:szCs w:val="20"/>
              </w:rPr>
              <w:t>mėnesio duomenų rinkinį. Demonstracija nėra vykdoma realiu laiku, o tiekėjams nėra reikalaujama integruotis su Pirkėjo API ar kita duomenų mainų sąsaja demonstracijos tikslais.</w:t>
            </w:r>
          </w:p>
        </w:tc>
        <w:tc>
          <w:tcPr>
            <w:tcW w:w="5265" w:type="dxa"/>
          </w:tcPr>
          <w:p w14:paraId="3454F74A" w14:textId="0B79B08B" w:rsidR="00721A2D" w:rsidRPr="00CB5E46" w:rsidRDefault="00767F80" w:rsidP="00CB5E46">
            <w:pPr>
              <w:jc w:val="both"/>
              <w:rPr>
                <w:rFonts w:cs="Arial"/>
                <w:sz w:val="20"/>
                <w:szCs w:val="20"/>
              </w:rPr>
            </w:pPr>
            <w:r w:rsidRPr="00CB5E46">
              <w:rPr>
                <w:rFonts w:cs="Arial"/>
                <w:sz w:val="20"/>
                <w:szCs w:val="20"/>
              </w:rPr>
              <w:t>2.1.</w:t>
            </w:r>
            <w:r w:rsidR="00741138" w:rsidRPr="00CB5E46">
              <w:rPr>
                <w:rFonts w:cs="Arial"/>
                <w:sz w:val="20"/>
                <w:szCs w:val="20"/>
              </w:rPr>
              <w:t xml:space="preserve">The demonstration shall be carried out using a </w:t>
            </w:r>
            <w:r w:rsidR="00780D2D" w:rsidRPr="00CB5E46">
              <w:rPr>
                <w:rFonts w:cs="Arial"/>
                <w:sz w:val="20"/>
                <w:szCs w:val="20"/>
              </w:rPr>
              <w:t>1 (</w:t>
            </w:r>
            <w:r w:rsidR="00741138" w:rsidRPr="00CB5E46">
              <w:rPr>
                <w:rFonts w:cs="Arial"/>
                <w:sz w:val="20"/>
                <w:szCs w:val="20"/>
              </w:rPr>
              <w:t>one</w:t>
            </w:r>
            <w:r w:rsidR="00780D2D" w:rsidRPr="00CB5E46">
              <w:rPr>
                <w:rFonts w:cs="Arial"/>
                <w:sz w:val="20"/>
                <w:szCs w:val="20"/>
              </w:rPr>
              <w:t xml:space="preserve">) </w:t>
            </w:r>
            <w:r w:rsidR="00741138" w:rsidRPr="00CB5E46">
              <w:rPr>
                <w:rFonts w:cs="Arial"/>
                <w:sz w:val="20"/>
                <w:szCs w:val="20"/>
              </w:rPr>
              <w:t>month historical data set provided by the Buyer. The demonstration shall not be carried out in real time, and suppliers shall not be required to integrate with the Buyer’s API or any other data exchange interface for the purposes of the demonstration.</w:t>
            </w:r>
          </w:p>
        </w:tc>
      </w:tr>
      <w:tr w:rsidR="00721A2D" w:rsidRPr="00CB5E46" w14:paraId="5D05E4B8" w14:textId="77777777" w:rsidTr="00CB5E46">
        <w:trPr>
          <w:jc w:val="center"/>
        </w:trPr>
        <w:tc>
          <w:tcPr>
            <w:tcW w:w="5265" w:type="dxa"/>
          </w:tcPr>
          <w:p w14:paraId="1BCABB87" w14:textId="028E726E" w:rsidR="00721A2D" w:rsidRPr="00CB5E46" w:rsidRDefault="00767F80" w:rsidP="00CB5E46">
            <w:pPr>
              <w:jc w:val="both"/>
              <w:rPr>
                <w:rFonts w:cs="Arial"/>
                <w:sz w:val="20"/>
                <w:szCs w:val="20"/>
              </w:rPr>
            </w:pPr>
            <w:r w:rsidRPr="00CB5E46">
              <w:rPr>
                <w:rFonts w:cs="Arial"/>
                <w:sz w:val="20"/>
                <w:szCs w:val="20"/>
              </w:rPr>
              <w:t>2.2. I</w:t>
            </w:r>
            <w:r w:rsidR="00741138" w:rsidRPr="00CB5E46">
              <w:rPr>
                <w:rFonts w:cs="Arial"/>
                <w:sz w:val="20"/>
                <w:szCs w:val="20"/>
              </w:rPr>
              <w:t>storinių duomenų demonstracijos modelis pasirinktas siekiant užtikrinti vienodas, objektyvias ir administracine prasme proporcingas sąlygas visiems tiekėjams. Toks modelis leidžia visiems tiekėjams prognozes rengti pagal tą patį duomenų rinkinį ir tą patį vertinamą laikotarpį.</w:t>
            </w:r>
          </w:p>
        </w:tc>
        <w:tc>
          <w:tcPr>
            <w:tcW w:w="5265" w:type="dxa"/>
          </w:tcPr>
          <w:p w14:paraId="4B88DFFE" w14:textId="55D9B3AB" w:rsidR="00721A2D" w:rsidRPr="00CB5E46" w:rsidRDefault="00767F80" w:rsidP="00CB5E46">
            <w:pPr>
              <w:jc w:val="both"/>
              <w:rPr>
                <w:rFonts w:cs="Arial"/>
                <w:sz w:val="20"/>
                <w:szCs w:val="20"/>
              </w:rPr>
            </w:pPr>
            <w:r w:rsidRPr="00CB5E46">
              <w:rPr>
                <w:rFonts w:cs="Arial"/>
                <w:sz w:val="20"/>
                <w:szCs w:val="20"/>
              </w:rPr>
              <w:t>2.2.</w:t>
            </w:r>
            <w:r w:rsidR="00741138" w:rsidRPr="00CB5E46">
              <w:rPr>
                <w:rFonts w:cs="Arial"/>
                <w:sz w:val="20"/>
                <w:szCs w:val="20"/>
              </w:rPr>
              <w:t>The historical data demonstration model has been selected in order to ensure equal, objective and administratively proportionate conditions for all suppliers. This model enables all suppliers to prepare forecasts based on the same data set and the same evaluation period.</w:t>
            </w:r>
          </w:p>
        </w:tc>
      </w:tr>
      <w:tr w:rsidR="00721A2D" w:rsidRPr="00CB5E46" w14:paraId="220D6E75" w14:textId="77777777" w:rsidTr="00CB5E46">
        <w:trPr>
          <w:jc w:val="center"/>
        </w:trPr>
        <w:tc>
          <w:tcPr>
            <w:tcW w:w="5265" w:type="dxa"/>
          </w:tcPr>
          <w:p w14:paraId="462451B1" w14:textId="6E6575D0" w:rsidR="00721A2D" w:rsidRPr="00CB5E46" w:rsidRDefault="00767F80" w:rsidP="00CB5E46">
            <w:pPr>
              <w:jc w:val="both"/>
              <w:rPr>
                <w:rFonts w:cs="Arial"/>
                <w:sz w:val="20"/>
                <w:szCs w:val="20"/>
              </w:rPr>
            </w:pPr>
            <w:r w:rsidRPr="00CB5E46">
              <w:rPr>
                <w:rFonts w:cs="Arial"/>
                <w:sz w:val="20"/>
                <w:szCs w:val="20"/>
              </w:rPr>
              <w:t xml:space="preserve">2.3. </w:t>
            </w:r>
            <w:r w:rsidR="00741138" w:rsidRPr="00CB5E46">
              <w:rPr>
                <w:rFonts w:cs="Arial"/>
                <w:sz w:val="20"/>
                <w:szCs w:val="20"/>
              </w:rPr>
              <w:t>Visiems tiekėjams pateikiamas tas pats istorinis duomenų rinkinys</w:t>
            </w:r>
            <w:r w:rsidR="00EC2572">
              <w:rPr>
                <w:rFonts w:cs="Arial"/>
                <w:sz w:val="20"/>
                <w:szCs w:val="20"/>
              </w:rPr>
              <w:t xml:space="preserve"> (SPS Priedas Nr.12.1 Excel failas)</w:t>
            </w:r>
            <w:r w:rsidR="00741138" w:rsidRPr="00CB5E46">
              <w:rPr>
                <w:rFonts w:cs="Arial"/>
                <w:sz w:val="20"/>
                <w:szCs w:val="20"/>
              </w:rPr>
              <w:t xml:space="preserve"> ir taikomos tos pačios prognozių pateikimo bei vertinimo sąlygos.</w:t>
            </w:r>
          </w:p>
        </w:tc>
        <w:tc>
          <w:tcPr>
            <w:tcW w:w="5265" w:type="dxa"/>
          </w:tcPr>
          <w:p w14:paraId="7A5ECDE3" w14:textId="4E4A36C3" w:rsidR="00721A2D" w:rsidRPr="00CB5E46" w:rsidRDefault="00767F80" w:rsidP="00CB5E46">
            <w:pPr>
              <w:jc w:val="both"/>
              <w:rPr>
                <w:rFonts w:cs="Arial"/>
                <w:sz w:val="20"/>
                <w:szCs w:val="20"/>
              </w:rPr>
            </w:pPr>
            <w:r w:rsidRPr="00CB5E46">
              <w:rPr>
                <w:rFonts w:cs="Arial"/>
                <w:sz w:val="20"/>
                <w:szCs w:val="20"/>
              </w:rPr>
              <w:t>2.3.</w:t>
            </w:r>
            <w:r w:rsidR="00741138" w:rsidRPr="00CB5E46">
              <w:rPr>
                <w:rFonts w:cs="Arial"/>
                <w:sz w:val="20"/>
                <w:szCs w:val="20"/>
              </w:rPr>
              <w:t>The same historical data set shall</w:t>
            </w:r>
            <w:r w:rsidR="00EC2572">
              <w:rPr>
                <w:rFonts w:cs="Arial"/>
                <w:sz w:val="20"/>
                <w:szCs w:val="20"/>
              </w:rPr>
              <w:t xml:space="preserve"> (SPC Annex No 12.1 Excel file)</w:t>
            </w:r>
            <w:r w:rsidR="00EC2572" w:rsidRPr="00CB5E46">
              <w:rPr>
                <w:rFonts w:cs="Arial"/>
                <w:sz w:val="20"/>
                <w:szCs w:val="20"/>
              </w:rPr>
              <w:t xml:space="preserve"> </w:t>
            </w:r>
            <w:r w:rsidR="00741138" w:rsidRPr="00CB5E46">
              <w:rPr>
                <w:rFonts w:cs="Arial"/>
                <w:sz w:val="20"/>
                <w:szCs w:val="20"/>
              </w:rPr>
              <w:t xml:space="preserve"> be provided to all suppliers, and the same forecast submission and evaluation conditions shall apply to all suppliers.</w:t>
            </w:r>
          </w:p>
        </w:tc>
      </w:tr>
      <w:tr w:rsidR="00721A2D" w:rsidRPr="00CB5E46" w14:paraId="050BAEEF" w14:textId="77777777" w:rsidTr="00CB5E46">
        <w:trPr>
          <w:jc w:val="center"/>
        </w:trPr>
        <w:tc>
          <w:tcPr>
            <w:tcW w:w="5265" w:type="dxa"/>
          </w:tcPr>
          <w:p w14:paraId="7853550B" w14:textId="39ED668D" w:rsidR="00721A2D" w:rsidRPr="00CB5E46" w:rsidRDefault="00767F80" w:rsidP="00CB5E46">
            <w:pPr>
              <w:jc w:val="both"/>
              <w:rPr>
                <w:rFonts w:cs="Arial"/>
                <w:sz w:val="20"/>
                <w:szCs w:val="20"/>
              </w:rPr>
            </w:pPr>
            <w:r w:rsidRPr="00CB5E46">
              <w:rPr>
                <w:rFonts w:cs="Arial"/>
                <w:sz w:val="20"/>
                <w:szCs w:val="20"/>
              </w:rPr>
              <w:t xml:space="preserve">2.4. </w:t>
            </w:r>
            <w:r w:rsidR="00741138" w:rsidRPr="00CB5E46">
              <w:rPr>
                <w:rFonts w:cs="Arial"/>
                <w:sz w:val="20"/>
                <w:szCs w:val="20"/>
              </w:rPr>
              <w:t>Pirkėjas kvietime dalyvauti demonstracijoje nurodo demonstracijos laikotarpį, duomenų rinkinio pateikimo datą ir prognozių failo pateikimo terminą.</w:t>
            </w:r>
          </w:p>
        </w:tc>
        <w:tc>
          <w:tcPr>
            <w:tcW w:w="5265" w:type="dxa"/>
          </w:tcPr>
          <w:p w14:paraId="2FF27F55" w14:textId="47C9C5EA" w:rsidR="00721A2D" w:rsidRPr="00CB5E46" w:rsidRDefault="009263D1" w:rsidP="00CB5E46">
            <w:pPr>
              <w:jc w:val="both"/>
              <w:rPr>
                <w:rFonts w:cs="Arial"/>
                <w:sz w:val="20"/>
                <w:szCs w:val="20"/>
              </w:rPr>
            </w:pPr>
            <w:r w:rsidRPr="00CB5E46">
              <w:rPr>
                <w:rFonts w:cs="Arial"/>
                <w:sz w:val="20"/>
                <w:szCs w:val="20"/>
              </w:rPr>
              <w:t>2.4.</w:t>
            </w:r>
            <w:r w:rsidR="00741138" w:rsidRPr="00CB5E46">
              <w:rPr>
                <w:rFonts w:cs="Arial"/>
                <w:sz w:val="20"/>
                <w:szCs w:val="20"/>
              </w:rPr>
              <w:t>The Buyer shall specify the demonstration period, the date of provision of the data set and the deadline for submitting the forecast file in the invitation to participate in the demonstration.</w:t>
            </w:r>
          </w:p>
        </w:tc>
      </w:tr>
      <w:tr w:rsidR="00721A2D" w:rsidRPr="00CB5E46" w14:paraId="703A7EFE" w14:textId="77777777" w:rsidTr="00CB5E46">
        <w:trPr>
          <w:jc w:val="center"/>
        </w:trPr>
        <w:tc>
          <w:tcPr>
            <w:tcW w:w="5265" w:type="dxa"/>
            <w:shd w:val="clear" w:color="auto" w:fill="EDEDED"/>
          </w:tcPr>
          <w:p w14:paraId="2C42AC24" w14:textId="77777777" w:rsidR="00721A2D" w:rsidRPr="00CB5E46" w:rsidRDefault="00741138" w:rsidP="00CB5E46">
            <w:pPr>
              <w:jc w:val="both"/>
              <w:rPr>
                <w:rFonts w:cs="Arial"/>
                <w:sz w:val="20"/>
                <w:szCs w:val="20"/>
              </w:rPr>
            </w:pPr>
            <w:r w:rsidRPr="00CB5E46">
              <w:rPr>
                <w:rFonts w:cs="Arial"/>
                <w:b/>
                <w:sz w:val="20"/>
                <w:szCs w:val="20"/>
              </w:rPr>
              <w:t>3. Vertinami portfeliai</w:t>
            </w:r>
          </w:p>
        </w:tc>
        <w:tc>
          <w:tcPr>
            <w:tcW w:w="5265" w:type="dxa"/>
            <w:shd w:val="clear" w:color="auto" w:fill="EDEDED"/>
          </w:tcPr>
          <w:p w14:paraId="14D2A617" w14:textId="77777777" w:rsidR="00721A2D" w:rsidRPr="00CB5E46" w:rsidRDefault="00741138" w:rsidP="00CB5E46">
            <w:pPr>
              <w:jc w:val="both"/>
              <w:rPr>
                <w:rFonts w:cs="Arial"/>
                <w:sz w:val="20"/>
                <w:szCs w:val="20"/>
              </w:rPr>
            </w:pPr>
            <w:r w:rsidRPr="00CB5E46">
              <w:rPr>
                <w:rFonts w:cs="Arial"/>
                <w:b/>
                <w:sz w:val="20"/>
                <w:szCs w:val="20"/>
              </w:rPr>
              <w:t>3. Evaluated portfolios</w:t>
            </w:r>
          </w:p>
        </w:tc>
      </w:tr>
      <w:tr w:rsidR="00721A2D" w:rsidRPr="00CB5E46" w14:paraId="11CC74D9" w14:textId="77777777" w:rsidTr="00CB5E46">
        <w:trPr>
          <w:jc w:val="center"/>
        </w:trPr>
        <w:tc>
          <w:tcPr>
            <w:tcW w:w="5265" w:type="dxa"/>
          </w:tcPr>
          <w:p w14:paraId="0F26D0C9" w14:textId="32192395" w:rsidR="00721A2D" w:rsidRPr="00CB5E46" w:rsidRDefault="009263D1" w:rsidP="00CB5E46">
            <w:pPr>
              <w:jc w:val="both"/>
              <w:rPr>
                <w:rFonts w:cs="Arial"/>
                <w:sz w:val="20"/>
                <w:szCs w:val="20"/>
              </w:rPr>
            </w:pPr>
            <w:r w:rsidRPr="00CB5E46">
              <w:rPr>
                <w:rFonts w:cs="Arial"/>
                <w:sz w:val="20"/>
                <w:szCs w:val="20"/>
              </w:rPr>
              <w:t xml:space="preserve">3.1. </w:t>
            </w:r>
            <w:r w:rsidR="00741138" w:rsidRPr="00CB5E46">
              <w:rPr>
                <w:rFonts w:cs="Arial"/>
                <w:sz w:val="20"/>
                <w:szCs w:val="20"/>
              </w:rPr>
              <w:t>Vėjo prognozės vertinimui naudojamas agreguotas vėjo parkų, prijungtų prie skirstomojo tinklo, portfelis.</w:t>
            </w:r>
          </w:p>
        </w:tc>
        <w:tc>
          <w:tcPr>
            <w:tcW w:w="5265" w:type="dxa"/>
          </w:tcPr>
          <w:p w14:paraId="5F2461E5" w14:textId="57F3163E" w:rsidR="00721A2D" w:rsidRPr="00CB5E46" w:rsidRDefault="009263D1" w:rsidP="00CB5E46">
            <w:pPr>
              <w:jc w:val="both"/>
              <w:rPr>
                <w:rFonts w:cs="Arial"/>
                <w:sz w:val="20"/>
                <w:szCs w:val="20"/>
              </w:rPr>
            </w:pPr>
            <w:r w:rsidRPr="00CB5E46">
              <w:rPr>
                <w:rFonts w:cs="Arial"/>
                <w:sz w:val="20"/>
                <w:szCs w:val="20"/>
              </w:rPr>
              <w:t>3.1.</w:t>
            </w:r>
            <w:r w:rsidR="00741138" w:rsidRPr="00CB5E46">
              <w:rPr>
                <w:rFonts w:cs="Arial"/>
                <w:sz w:val="20"/>
                <w:szCs w:val="20"/>
              </w:rPr>
              <w:t>For the evaluation of the wind forecast, an aggregated portfolio of wind farms connected to the distribution network shall be used.</w:t>
            </w:r>
          </w:p>
        </w:tc>
      </w:tr>
      <w:tr w:rsidR="00721A2D" w:rsidRPr="00CB5E46" w14:paraId="3303166E" w14:textId="77777777" w:rsidTr="00CB5E46">
        <w:trPr>
          <w:jc w:val="center"/>
        </w:trPr>
        <w:tc>
          <w:tcPr>
            <w:tcW w:w="5265" w:type="dxa"/>
          </w:tcPr>
          <w:p w14:paraId="6BAB5676" w14:textId="4491EAC0" w:rsidR="00721A2D" w:rsidRPr="00CB5E46" w:rsidRDefault="009263D1" w:rsidP="00CB5E46">
            <w:pPr>
              <w:jc w:val="both"/>
              <w:rPr>
                <w:rFonts w:cs="Arial"/>
                <w:sz w:val="20"/>
                <w:szCs w:val="20"/>
              </w:rPr>
            </w:pPr>
            <w:r w:rsidRPr="00CB5E46">
              <w:rPr>
                <w:rFonts w:cs="Arial"/>
                <w:sz w:val="20"/>
                <w:szCs w:val="20"/>
              </w:rPr>
              <w:t>3.2.</w:t>
            </w:r>
            <w:r w:rsidR="00741138" w:rsidRPr="00CB5E46">
              <w:rPr>
                <w:rFonts w:cs="Arial"/>
                <w:sz w:val="20"/>
                <w:szCs w:val="20"/>
              </w:rPr>
              <w:t>Saulės prognozės vertinimui naudojamas agreguotas saulės elektrinių, kurios yra generuojantys vartotojai, prijungti prie skirstomojo tinklo, portfelis.</w:t>
            </w:r>
          </w:p>
        </w:tc>
        <w:tc>
          <w:tcPr>
            <w:tcW w:w="5265" w:type="dxa"/>
          </w:tcPr>
          <w:p w14:paraId="2720DE76" w14:textId="2DD7AB28" w:rsidR="00721A2D" w:rsidRPr="00CB5E46" w:rsidRDefault="009263D1" w:rsidP="00CB5E46">
            <w:pPr>
              <w:jc w:val="both"/>
              <w:rPr>
                <w:rFonts w:cs="Arial"/>
                <w:sz w:val="20"/>
                <w:szCs w:val="20"/>
              </w:rPr>
            </w:pPr>
            <w:r w:rsidRPr="00CB5E46">
              <w:rPr>
                <w:rFonts w:cs="Arial"/>
                <w:sz w:val="20"/>
                <w:szCs w:val="20"/>
              </w:rPr>
              <w:t>3.2.</w:t>
            </w:r>
            <w:r w:rsidR="00741138" w:rsidRPr="00CB5E46">
              <w:rPr>
                <w:rFonts w:cs="Arial"/>
                <w:sz w:val="20"/>
                <w:szCs w:val="20"/>
              </w:rPr>
              <w:t>For the evaluation of the solar forecast, an aggregated portfolio of solar power plants owned by prosumers and connected to the distribution network shall be used.</w:t>
            </w:r>
          </w:p>
        </w:tc>
      </w:tr>
      <w:tr w:rsidR="00721A2D" w:rsidRPr="00CB5E46" w14:paraId="20540B71" w14:textId="77777777" w:rsidTr="00CB5E46">
        <w:trPr>
          <w:jc w:val="center"/>
        </w:trPr>
        <w:tc>
          <w:tcPr>
            <w:tcW w:w="5265" w:type="dxa"/>
          </w:tcPr>
          <w:p w14:paraId="18805154" w14:textId="43754D4C" w:rsidR="00721A2D" w:rsidRPr="00CB5E46" w:rsidRDefault="009263D1" w:rsidP="00CB5E46">
            <w:pPr>
              <w:jc w:val="both"/>
              <w:rPr>
                <w:rFonts w:cs="Arial"/>
                <w:sz w:val="20"/>
                <w:szCs w:val="20"/>
              </w:rPr>
            </w:pPr>
            <w:r w:rsidRPr="00CB5E46">
              <w:rPr>
                <w:rFonts w:cs="Arial"/>
                <w:sz w:val="20"/>
                <w:szCs w:val="20"/>
              </w:rPr>
              <w:lastRenderedPageBreak/>
              <w:t>3.3.</w:t>
            </w:r>
            <w:r w:rsidR="00741138" w:rsidRPr="00CB5E46">
              <w:rPr>
                <w:rFonts w:cs="Arial"/>
                <w:sz w:val="20"/>
                <w:szCs w:val="20"/>
              </w:rPr>
              <w:t>Kadangi vertinami portfeliai yra agreguoti, o įrenginiai prijungti prie skirstomojo tinklo, individuali informacija apie atskiras elektrines, įskaitant jų lokaciją ir kitus identifikuojančius duomenis, tiekėjams nebus pateikiama.</w:t>
            </w:r>
          </w:p>
        </w:tc>
        <w:tc>
          <w:tcPr>
            <w:tcW w:w="5265" w:type="dxa"/>
          </w:tcPr>
          <w:p w14:paraId="0DBCD56A" w14:textId="69E394A6" w:rsidR="00721A2D" w:rsidRPr="00CB5E46" w:rsidRDefault="009263D1" w:rsidP="00CB5E46">
            <w:pPr>
              <w:jc w:val="both"/>
              <w:rPr>
                <w:rFonts w:cs="Arial"/>
                <w:sz w:val="20"/>
                <w:szCs w:val="20"/>
              </w:rPr>
            </w:pPr>
            <w:r w:rsidRPr="00CB5E46">
              <w:rPr>
                <w:rFonts w:cs="Arial"/>
                <w:sz w:val="20"/>
                <w:szCs w:val="20"/>
              </w:rPr>
              <w:t>3.3.</w:t>
            </w:r>
            <w:r w:rsidR="00741138" w:rsidRPr="00CB5E46">
              <w:rPr>
                <w:rFonts w:cs="Arial"/>
                <w:sz w:val="20"/>
                <w:szCs w:val="20"/>
              </w:rPr>
              <w:t>As the evaluated portfolios are aggregated and the units are connected to the distribution network, individual information on separate power plants, including their location and other identifying data, shall not be provided to suppliers.</w:t>
            </w:r>
          </w:p>
        </w:tc>
      </w:tr>
      <w:tr w:rsidR="00721A2D" w:rsidRPr="00CB5E46" w14:paraId="76DB75E0" w14:textId="77777777" w:rsidTr="00CB5E46">
        <w:trPr>
          <w:jc w:val="center"/>
        </w:trPr>
        <w:tc>
          <w:tcPr>
            <w:tcW w:w="5265" w:type="dxa"/>
            <w:shd w:val="clear" w:color="auto" w:fill="EDEDED"/>
          </w:tcPr>
          <w:p w14:paraId="5347AFE9" w14:textId="77777777" w:rsidR="00721A2D" w:rsidRPr="00CB5E46" w:rsidRDefault="00741138" w:rsidP="00CB5E46">
            <w:pPr>
              <w:jc w:val="both"/>
              <w:rPr>
                <w:rFonts w:cs="Arial"/>
                <w:sz w:val="20"/>
                <w:szCs w:val="20"/>
              </w:rPr>
            </w:pPr>
            <w:r w:rsidRPr="00CB5E46">
              <w:rPr>
                <w:rFonts w:cs="Arial"/>
                <w:b/>
                <w:sz w:val="20"/>
                <w:szCs w:val="20"/>
              </w:rPr>
              <w:t>4. Tiekėjams pateikiami istoriniai duomenys</w:t>
            </w:r>
          </w:p>
        </w:tc>
        <w:tc>
          <w:tcPr>
            <w:tcW w:w="5265" w:type="dxa"/>
            <w:shd w:val="clear" w:color="auto" w:fill="EDEDED"/>
          </w:tcPr>
          <w:p w14:paraId="003470E3" w14:textId="77777777" w:rsidR="00721A2D" w:rsidRPr="00CB5E46" w:rsidRDefault="00741138" w:rsidP="00CB5E46">
            <w:pPr>
              <w:jc w:val="both"/>
              <w:rPr>
                <w:rFonts w:cs="Arial"/>
                <w:sz w:val="20"/>
                <w:szCs w:val="20"/>
              </w:rPr>
            </w:pPr>
            <w:r w:rsidRPr="00CB5E46">
              <w:rPr>
                <w:rFonts w:cs="Arial"/>
                <w:b/>
                <w:sz w:val="20"/>
                <w:szCs w:val="20"/>
              </w:rPr>
              <w:t>4. Historical data provided to suppliers</w:t>
            </w:r>
          </w:p>
        </w:tc>
      </w:tr>
      <w:tr w:rsidR="00721A2D" w:rsidRPr="00CB5E46" w14:paraId="70E7B830" w14:textId="77777777" w:rsidTr="00CB5E46">
        <w:trPr>
          <w:jc w:val="center"/>
        </w:trPr>
        <w:tc>
          <w:tcPr>
            <w:tcW w:w="5265" w:type="dxa"/>
          </w:tcPr>
          <w:p w14:paraId="5C46022B" w14:textId="1C4980E6" w:rsidR="00721A2D" w:rsidRPr="00CB5E46" w:rsidRDefault="009263D1" w:rsidP="00CB5E46">
            <w:pPr>
              <w:jc w:val="both"/>
              <w:rPr>
                <w:rFonts w:cs="Arial"/>
                <w:sz w:val="20"/>
                <w:szCs w:val="20"/>
              </w:rPr>
            </w:pPr>
            <w:r w:rsidRPr="00CB5E46">
              <w:rPr>
                <w:rFonts w:cs="Arial"/>
                <w:sz w:val="20"/>
                <w:szCs w:val="20"/>
              </w:rPr>
              <w:t>4.1.</w:t>
            </w:r>
            <w:r w:rsidR="00741138" w:rsidRPr="00CB5E46">
              <w:rPr>
                <w:rFonts w:cs="Arial"/>
                <w:sz w:val="20"/>
                <w:szCs w:val="20"/>
              </w:rPr>
              <w:t xml:space="preserve">Tiekėjams bus pateikiamas XLSX formato failas su istoriniais faktiniais duomenimis už laikotarpį, reikalingą jų prognozavimo modeliams apmokyti. </w:t>
            </w:r>
          </w:p>
        </w:tc>
        <w:tc>
          <w:tcPr>
            <w:tcW w:w="5265" w:type="dxa"/>
          </w:tcPr>
          <w:p w14:paraId="04CE1426" w14:textId="384749FF" w:rsidR="00721A2D" w:rsidRPr="00CB5E46" w:rsidRDefault="009263D1" w:rsidP="00CB5E46">
            <w:pPr>
              <w:jc w:val="both"/>
              <w:rPr>
                <w:rFonts w:cs="Arial"/>
                <w:sz w:val="20"/>
                <w:szCs w:val="20"/>
              </w:rPr>
            </w:pPr>
            <w:r w:rsidRPr="00CB5E46">
              <w:rPr>
                <w:rFonts w:cs="Arial"/>
                <w:sz w:val="20"/>
                <w:szCs w:val="20"/>
              </w:rPr>
              <w:t>4.1.</w:t>
            </w:r>
            <w:r w:rsidR="00741138" w:rsidRPr="00CB5E46">
              <w:rPr>
                <w:rFonts w:cs="Arial"/>
                <w:sz w:val="20"/>
                <w:szCs w:val="20"/>
              </w:rPr>
              <w:t xml:space="preserve">Suppliers shall be provided with an XLSX file containing historical actual data for the period required to train their forecasting models. </w:t>
            </w:r>
          </w:p>
        </w:tc>
      </w:tr>
      <w:tr w:rsidR="00721A2D" w:rsidRPr="00CB5E46" w14:paraId="7DA10239" w14:textId="77777777" w:rsidTr="00CB5E46">
        <w:trPr>
          <w:jc w:val="center"/>
        </w:trPr>
        <w:tc>
          <w:tcPr>
            <w:tcW w:w="5265" w:type="dxa"/>
          </w:tcPr>
          <w:p w14:paraId="04920719" w14:textId="76DBA3BC" w:rsidR="00721A2D" w:rsidRPr="00CB5E46" w:rsidRDefault="009263D1" w:rsidP="00CB5E46">
            <w:pPr>
              <w:jc w:val="both"/>
              <w:rPr>
                <w:rFonts w:cs="Arial"/>
                <w:sz w:val="20"/>
                <w:szCs w:val="20"/>
              </w:rPr>
            </w:pPr>
            <w:r w:rsidRPr="00CB5E46">
              <w:rPr>
                <w:rFonts w:cs="Arial"/>
                <w:sz w:val="20"/>
                <w:szCs w:val="20"/>
              </w:rPr>
              <w:t xml:space="preserve">4.2. </w:t>
            </w:r>
            <w:r w:rsidR="00741138" w:rsidRPr="00CB5E46">
              <w:rPr>
                <w:rFonts w:cs="Arial"/>
                <w:sz w:val="20"/>
                <w:szCs w:val="20"/>
              </w:rPr>
              <w:t xml:space="preserve">Pavyzdžiui, jeigu demonstracijos vertinimui aktualus vasaros laikotarpis, tiekėjams gali būti pateikiami </w:t>
            </w:r>
          </w:p>
        </w:tc>
        <w:tc>
          <w:tcPr>
            <w:tcW w:w="5265" w:type="dxa"/>
          </w:tcPr>
          <w:p w14:paraId="7126EEB8" w14:textId="21836D2C" w:rsidR="00721A2D" w:rsidRPr="00CB5E46" w:rsidRDefault="009263D1" w:rsidP="00CB5E46">
            <w:pPr>
              <w:jc w:val="both"/>
              <w:rPr>
                <w:rFonts w:cs="Arial"/>
                <w:sz w:val="20"/>
                <w:szCs w:val="20"/>
              </w:rPr>
            </w:pPr>
            <w:r w:rsidRPr="00CB5E46">
              <w:rPr>
                <w:rFonts w:cs="Arial"/>
                <w:sz w:val="20"/>
                <w:szCs w:val="20"/>
              </w:rPr>
              <w:t>4.2.</w:t>
            </w:r>
            <w:r w:rsidR="00741138" w:rsidRPr="00CB5E46">
              <w:rPr>
                <w:rFonts w:cs="Arial"/>
                <w:sz w:val="20"/>
                <w:szCs w:val="20"/>
              </w:rPr>
              <w:t xml:space="preserve">For example, if the summer period is relevant for the demonstration evaluation, suppliers may be provided </w:t>
            </w:r>
          </w:p>
        </w:tc>
      </w:tr>
      <w:tr w:rsidR="00721A2D" w:rsidRPr="00CB5E46" w14:paraId="722A2640" w14:textId="77777777" w:rsidTr="00CB5E46">
        <w:trPr>
          <w:jc w:val="center"/>
        </w:trPr>
        <w:tc>
          <w:tcPr>
            <w:tcW w:w="5265" w:type="dxa"/>
            <w:shd w:val="clear" w:color="auto" w:fill="EDEDED"/>
          </w:tcPr>
          <w:p w14:paraId="24DF4ECD" w14:textId="77777777" w:rsidR="00721A2D" w:rsidRPr="00CB5E46" w:rsidRDefault="00741138" w:rsidP="00CB5E46">
            <w:pPr>
              <w:jc w:val="both"/>
              <w:rPr>
                <w:rFonts w:cs="Arial"/>
                <w:sz w:val="20"/>
                <w:szCs w:val="20"/>
              </w:rPr>
            </w:pPr>
            <w:r w:rsidRPr="00CB5E46">
              <w:rPr>
                <w:rFonts w:cs="Arial"/>
                <w:b/>
                <w:sz w:val="20"/>
                <w:szCs w:val="20"/>
              </w:rPr>
              <w:t>5. Tiekėjo pateikiamas prognozių failas</w:t>
            </w:r>
          </w:p>
        </w:tc>
        <w:tc>
          <w:tcPr>
            <w:tcW w:w="5265" w:type="dxa"/>
            <w:shd w:val="clear" w:color="auto" w:fill="EDEDED"/>
          </w:tcPr>
          <w:p w14:paraId="25DEDF52" w14:textId="77777777" w:rsidR="00721A2D" w:rsidRPr="00CB5E46" w:rsidRDefault="00741138" w:rsidP="00CB5E46">
            <w:pPr>
              <w:jc w:val="both"/>
              <w:rPr>
                <w:rFonts w:cs="Arial"/>
                <w:sz w:val="20"/>
                <w:szCs w:val="20"/>
              </w:rPr>
            </w:pPr>
            <w:r w:rsidRPr="00CB5E46">
              <w:rPr>
                <w:rFonts w:cs="Arial"/>
                <w:b/>
                <w:sz w:val="20"/>
                <w:szCs w:val="20"/>
              </w:rPr>
              <w:t>5. Forecast file to be submitted by the supplier</w:t>
            </w:r>
          </w:p>
        </w:tc>
      </w:tr>
      <w:tr w:rsidR="00721A2D" w:rsidRPr="00CB5E46" w14:paraId="5166139A" w14:textId="77777777" w:rsidTr="00CB5E46">
        <w:trPr>
          <w:jc w:val="center"/>
        </w:trPr>
        <w:tc>
          <w:tcPr>
            <w:tcW w:w="5265" w:type="dxa"/>
          </w:tcPr>
          <w:p w14:paraId="560A60CE" w14:textId="7365C481" w:rsidR="00721A2D" w:rsidRPr="00CB5E46" w:rsidRDefault="009263D1" w:rsidP="00CB5E46">
            <w:pPr>
              <w:jc w:val="both"/>
              <w:rPr>
                <w:rFonts w:cs="Arial"/>
                <w:sz w:val="20"/>
                <w:szCs w:val="20"/>
              </w:rPr>
            </w:pPr>
            <w:r w:rsidRPr="00CB5E46">
              <w:rPr>
                <w:rFonts w:cs="Arial"/>
                <w:sz w:val="20"/>
                <w:szCs w:val="20"/>
              </w:rPr>
              <w:t>5.1.</w:t>
            </w:r>
            <w:r w:rsidR="00741138" w:rsidRPr="00CB5E46">
              <w:rPr>
                <w:rFonts w:cs="Arial"/>
                <w:sz w:val="20"/>
                <w:szCs w:val="20"/>
              </w:rPr>
              <w:t>Tiekėjas demonstracijai pateikia vieną prognozių failą XLSX formatu. Kiti dokumentai, įskaitant metodikos aprašymą, demonstracijos vertinimui neteikiami ir nevertinami.</w:t>
            </w:r>
          </w:p>
        </w:tc>
        <w:tc>
          <w:tcPr>
            <w:tcW w:w="5265" w:type="dxa"/>
          </w:tcPr>
          <w:p w14:paraId="6730ACE7" w14:textId="06B7EF41" w:rsidR="00721A2D" w:rsidRPr="00CB5E46" w:rsidRDefault="009263D1" w:rsidP="00CB5E46">
            <w:pPr>
              <w:jc w:val="both"/>
              <w:rPr>
                <w:rFonts w:cs="Arial"/>
                <w:sz w:val="20"/>
                <w:szCs w:val="20"/>
              </w:rPr>
            </w:pPr>
            <w:r w:rsidRPr="00CB5E46">
              <w:rPr>
                <w:rFonts w:cs="Arial"/>
                <w:sz w:val="20"/>
                <w:szCs w:val="20"/>
              </w:rPr>
              <w:t>5.1.</w:t>
            </w:r>
            <w:r w:rsidR="00741138" w:rsidRPr="00CB5E46">
              <w:rPr>
                <w:rFonts w:cs="Arial"/>
                <w:sz w:val="20"/>
                <w:szCs w:val="20"/>
              </w:rPr>
              <w:t>For the demonstration, the supplier shall submit one forecast file in XLSX format. Other documents, including a description of the forecasting methodology, shall not be submitted or evaluated for the purposes of the demonstration.</w:t>
            </w:r>
          </w:p>
        </w:tc>
      </w:tr>
      <w:tr w:rsidR="00721A2D" w:rsidRPr="00CB5E46" w14:paraId="0E31B491" w14:textId="77777777" w:rsidTr="00CB5E46">
        <w:trPr>
          <w:jc w:val="center"/>
        </w:trPr>
        <w:tc>
          <w:tcPr>
            <w:tcW w:w="5265" w:type="dxa"/>
          </w:tcPr>
          <w:p w14:paraId="540AD42F" w14:textId="39E8B9E4" w:rsidR="00721A2D" w:rsidRPr="00CB5E46" w:rsidRDefault="009263D1" w:rsidP="00CB5E46">
            <w:pPr>
              <w:jc w:val="both"/>
              <w:rPr>
                <w:rFonts w:cs="Arial"/>
                <w:sz w:val="20"/>
                <w:szCs w:val="20"/>
              </w:rPr>
            </w:pPr>
            <w:r w:rsidRPr="00CB5E46">
              <w:rPr>
                <w:rFonts w:cs="Arial"/>
                <w:sz w:val="20"/>
                <w:szCs w:val="20"/>
              </w:rPr>
              <w:t>5.2.</w:t>
            </w:r>
            <w:r w:rsidR="00741138" w:rsidRPr="00CB5E46">
              <w:rPr>
                <w:rFonts w:cs="Arial"/>
                <w:sz w:val="20"/>
                <w:szCs w:val="20"/>
              </w:rPr>
              <w:t>Prognozių failas turi apimti visą Pirkėjo nurodytą demonstracijos mėnesį. Prognozės turi būti pateikiamos 15 minučių laiko žingsniu EEST laiko zonoje.</w:t>
            </w:r>
          </w:p>
        </w:tc>
        <w:tc>
          <w:tcPr>
            <w:tcW w:w="5265" w:type="dxa"/>
          </w:tcPr>
          <w:p w14:paraId="3E7AF5BA" w14:textId="39272386" w:rsidR="00721A2D" w:rsidRPr="00CB5E46" w:rsidRDefault="009263D1" w:rsidP="00CB5E46">
            <w:pPr>
              <w:jc w:val="both"/>
              <w:rPr>
                <w:rFonts w:cs="Arial"/>
                <w:sz w:val="20"/>
                <w:szCs w:val="20"/>
              </w:rPr>
            </w:pPr>
            <w:r w:rsidRPr="00CB5E46">
              <w:rPr>
                <w:rFonts w:cs="Arial"/>
                <w:sz w:val="20"/>
                <w:szCs w:val="20"/>
              </w:rPr>
              <w:t>5.2.</w:t>
            </w:r>
            <w:r w:rsidR="00741138" w:rsidRPr="00CB5E46">
              <w:rPr>
                <w:rFonts w:cs="Arial"/>
                <w:sz w:val="20"/>
                <w:szCs w:val="20"/>
              </w:rPr>
              <w:t>The forecast file shall cover the entire demonstration month specified by the Buyer. Forecasts shall be submitted at a 15-minute resolution in the EEST time zone.</w:t>
            </w:r>
          </w:p>
        </w:tc>
      </w:tr>
      <w:tr w:rsidR="00721A2D" w:rsidRPr="00CB5E46" w14:paraId="061277D7" w14:textId="77777777" w:rsidTr="00CB5E46">
        <w:trPr>
          <w:jc w:val="center"/>
        </w:trPr>
        <w:tc>
          <w:tcPr>
            <w:tcW w:w="5265" w:type="dxa"/>
          </w:tcPr>
          <w:p w14:paraId="23E8E9E8" w14:textId="2DC88761" w:rsidR="00721A2D" w:rsidRPr="00CB5E46" w:rsidRDefault="009263D1" w:rsidP="00CB5E46">
            <w:pPr>
              <w:jc w:val="both"/>
              <w:rPr>
                <w:rFonts w:cs="Arial"/>
                <w:sz w:val="20"/>
                <w:szCs w:val="20"/>
              </w:rPr>
            </w:pPr>
            <w:r w:rsidRPr="00CB5E46">
              <w:rPr>
                <w:rFonts w:cs="Arial"/>
                <w:sz w:val="20"/>
                <w:szCs w:val="20"/>
              </w:rPr>
              <w:t>5.3.</w:t>
            </w:r>
            <w:r w:rsidR="00741138" w:rsidRPr="00CB5E46">
              <w:rPr>
                <w:rFonts w:cs="Arial"/>
                <w:sz w:val="20"/>
                <w:szCs w:val="20"/>
              </w:rPr>
              <w:t>Prognozių faile turi būti pateiktos vėjo ir</w:t>
            </w:r>
            <w:r w:rsidR="00B06275" w:rsidRPr="00CB5E46">
              <w:rPr>
                <w:rFonts w:cs="Arial"/>
                <w:sz w:val="20"/>
                <w:szCs w:val="20"/>
              </w:rPr>
              <w:t>/arba</w:t>
            </w:r>
            <w:r w:rsidR="00741138" w:rsidRPr="00CB5E46">
              <w:rPr>
                <w:rFonts w:cs="Arial"/>
                <w:sz w:val="20"/>
                <w:szCs w:val="20"/>
              </w:rPr>
              <w:t xml:space="preserve"> saulės elektrinių generacijos prognozės MW .</w:t>
            </w:r>
          </w:p>
        </w:tc>
        <w:tc>
          <w:tcPr>
            <w:tcW w:w="5265" w:type="dxa"/>
          </w:tcPr>
          <w:p w14:paraId="39622AD8" w14:textId="0212DB82" w:rsidR="00721A2D" w:rsidRPr="00CB5E46" w:rsidRDefault="009263D1" w:rsidP="00CB5E46">
            <w:pPr>
              <w:jc w:val="both"/>
              <w:rPr>
                <w:rFonts w:cs="Arial"/>
                <w:sz w:val="20"/>
                <w:szCs w:val="20"/>
              </w:rPr>
            </w:pPr>
            <w:r w:rsidRPr="00CB5E46">
              <w:rPr>
                <w:rFonts w:cs="Arial"/>
                <w:sz w:val="20"/>
                <w:szCs w:val="20"/>
              </w:rPr>
              <w:t>5.3.</w:t>
            </w:r>
            <w:r w:rsidR="00741138" w:rsidRPr="00CB5E46">
              <w:rPr>
                <w:rFonts w:cs="Arial"/>
                <w:sz w:val="20"/>
                <w:szCs w:val="20"/>
              </w:rPr>
              <w:t>The forecast file shall include wind and</w:t>
            </w:r>
            <w:r w:rsidR="00B06275" w:rsidRPr="00CB5E46">
              <w:rPr>
                <w:rFonts w:cs="Arial"/>
                <w:sz w:val="20"/>
                <w:szCs w:val="20"/>
              </w:rPr>
              <w:t>/or</w:t>
            </w:r>
            <w:r w:rsidR="00741138" w:rsidRPr="00CB5E46">
              <w:rPr>
                <w:rFonts w:cs="Arial"/>
                <w:sz w:val="20"/>
                <w:szCs w:val="20"/>
              </w:rPr>
              <w:t xml:space="preserve"> solar power generation forecasts expressed in MW.</w:t>
            </w:r>
          </w:p>
        </w:tc>
      </w:tr>
      <w:tr w:rsidR="00721A2D" w:rsidRPr="00CB5E46" w14:paraId="7A5E0073" w14:textId="77777777" w:rsidTr="00CB5E46">
        <w:trPr>
          <w:jc w:val="center"/>
        </w:trPr>
        <w:tc>
          <w:tcPr>
            <w:tcW w:w="5265" w:type="dxa"/>
          </w:tcPr>
          <w:p w14:paraId="0D8C1EA4" w14:textId="5242D653" w:rsidR="00721A2D" w:rsidRPr="00CB5E46" w:rsidRDefault="009263D1" w:rsidP="00CB5E46">
            <w:pPr>
              <w:jc w:val="both"/>
              <w:rPr>
                <w:rFonts w:cs="Arial"/>
                <w:sz w:val="20"/>
                <w:szCs w:val="20"/>
              </w:rPr>
            </w:pPr>
            <w:r w:rsidRPr="00CB5E46">
              <w:rPr>
                <w:rFonts w:cs="Arial"/>
                <w:sz w:val="20"/>
                <w:szCs w:val="20"/>
              </w:rPr>
              <w:t>5.4.</w:t>
            </w:r>
            <w:r w:rsidR="00741138" w:rsidRPr="00CB5E46">
              <w:rPr>
                <w:rFonts w:cs="Arial"/>
                <w:sz w:val="20"/>
                <w:szCs w:val="20"/>
              </w:rPr>
              <w:t>Rekomenduojama prognozių failo struktūra: timestamp_EEST, wind_forecast_MW, solar_forecast_MW.</w:t>
            </w:r>
          </w:p>
        </w:tc>
        <w:tc>
          <w:tcPr>
            <w:tcW w:w="5265" w:type="dxa"/>
          </w:tcPr>
          <w:p w14:paraId="53804182" w14:textId="652A5A2E" w:rsidR="00721A2D" w:rsidRPr="00CB5E46" w:rsidRDefault="009263D1" w:rsidP="00CB5E46">
            <w:pPr>
              <w:jc w:val="both"/>
              <w:rPr>
                <w:rFonts w:cs="Arial"/>
                <w:sz w:val="20"/>
                <w:szCs w:val="20"/>
              </w:rPr>
            </w:pPr>
            <w:r w:rsidRPr="00CB5E46">
              <w:rPr>
                <w:rFonts w:cs="Arial"/>
                <w:sz w:val="20"/>
                <w:szCs w:val="20"/>
              </w:rPr>
              <w:t>5.4.</w:t>
            </w:r>
            <w:r w:rsidR="00741138" w:rsidRPr="00CB5E46">
              <w:rPr>
                <w:rFonts w:cs="Arial"/>
                <w:sz w:val="20"/>
                <w:szCs w:val="20"/>
              </w:rPr>
              <w:t>The recommended structure of the forecast file is: timestamp_EEST, wind_forecast_MW, solar_forecast_MW.</w:t>
            </w:r>
          </w:p>
        </w:tc>
      </w:tr>
      <w:tr w:rsidR="00721A2D" w:rsidRPr="00CB5E46" w14:paraId="6865249B" w14:textId="77777777" w:rsidTr="00CB5E46">
        <w:trPr>
          <w:jc w:val="center"/>
        </w:trPr>
        <w:tc>
          <w:tcPr>
            <w:tcW w:w="5265" w:type="dxa"/>
          </w:tcPr>
          <w:p w14:paraId="03442F05" w14:textId="730F1BCB" w:rsidR="00721A2D" w:rsidRPr="00CB5E46" w:rsidRDefault="009263D1" w:rsidP="00CB5E46">
            <w:pPr>
              <w:jc w:val="both"/>
              <w:rPr>
                <w:rFonts w:cs="Arial"/>
                <w:sz w:val="20"/>
                <w:szCs w:val="20"/>
              </w:rPr>
            </w:pPr>
            <w:r w:rsidRPr="00CB5E46">
              <w:rPr>
                <w:rFonts w:cs="Arial"/>
                <w:sz w:val="20"/>
                <w:szCs w:val="20"/>
              </w:rPr>
              <w:t>5.5.</w:t>
            </w:r>
            <w:r w:rsidR="00741138" w:rsidRPr="00CB5E46">
              <w:rPr>
                <w:rFonts w:cs="Arial"/>
                <w:sz w:val="20"/>
                <w:szCs w:val="20"/>
              </w:rPr>
              <w:t>Kiekviena prognozių failo eilutė turi atitikti vieną 15 minučių intervalą. Neigiamos prognozuojamos generacijos reikšmės neleidžiamos.</w:t>
            </w:r>
          </w:p>
        </w:tc>
        <w:tc>
          <w:tcPr>
            <w:tcW w:w="5265" w:type="dxa"/>
          </w:tcPr>
          <w:p w14:paraId="69CC9460" w14:textId="2810FE5A" w:rsidR="00721A2D" w:rsidRPr="00CB5E46" w:rsidRDefault="009263D1" w:rsidP="00CB5E46">
            <w:pPr>
              <w:jc w:val="both"/>
              <w:rPr>
                <w:rFonts w:cs="Arial"/>
                <w:sz w:val="20"/>
                <w:szCs w:val="20"/>
              </w:rPr>
            </w:pPr>
            <w:r w:rsidRPr="00CB5E46">
              <w:rPr>
                <w:rFonts w:cs="Arial"/>
                <w:sz w:val="20"/>
                <w:szCs w:val="20"/>
              </w:rPr>
              <w:t>5.5.</w:t>
            </w:r>
            <w:r w:rsidR="00741138" w:rsidRPr="00CB5E46">
              <w:rPr>
                <w:rFonts w:cs="Arial"/>
                <w:sz w:val="20"/>
                <w:szCs w:val="20"/>
              </w:rPr>
              <w:t>Each row of the forecast file shall correspond to one 15-minute interval. Negative forecasted generation values are not permitted.</w:t>
            </w:r>
          </w:p>
        </w:tc>
      </w:tr>
      <w:tr w:rsidR="00721A2D" w:rsidRPr="00CB5E46" w14:paraId="5DC544BB" w14:textId="77777777" w:rsidTr="00CB5E46">
        <w:trPr>
          <w:jc w:val="center"/>
        </w:trPr>
        <w:tc>
          <w:tcPr>
            <w:tcW w:w="5265" w:type="dxa"/>
            <w:shd w:val="clear" w:color="auto" w:fill="EDEDED"/>
          </w:tcPr>
          <w:p w14:paraId="0B3A3736" w14:textId="77777777" w:rsidR="00721A2D" w:rsidRPr="00CB5E46" w:rsidRDefault="00741138" w:rsidP="00CB5E46">
            <w:pPr>
              <w:jc w:val="both"/>
              <w:rPr>
                <w:rFonts w:cs="Arial"/>
                <w:sz w:val="20"/>
                <w:szCs w:val="20"/>
              </w:rPr>
            </w:pPr>
            <w:r w:rsidRPr="00CB5E46">
              <w:rPr>
                <w:rFonts w:cs="Arial"/>
                <w:b/>
                <w:sz w:val="20"/>
                <w:szCs w:val="20"/>
              </w:rPr>
              <w:t>6. nMAE skaičiavimas</w:t>
            </w:r>
          </w:p>
        </w:tc>
        <w:tc>
          <w:tcPr>
            <w:tcW w:w="5265" w:type="dxa"/>
            <w:shd w:val="clear" w:color="auto" w:fill="EDEDED"/>
          </w:tcPr>
          <w:p w14:paraId="5364D17B" w14:textId="77777777" w:rsidR="00721A2D" w:rsidRPr="00CB5E46" w:rsidRDefault="00741138" w:rsidP="00CB5E46">
            <w:pPr>
              <w:jc w:val="both"/>
              <w:rPr>
                <w:rFonts w:cs="Arial"/>
                <w:sz w:val="20"/>
                <w:szCs w:val="20"/>
              </w:rPr>
            </w:pPr>
            <w:r w:rsidRPr="00CB5E46">
              <w:rPr>
                <w:rFonts w:cs="Arial"/>
                <w:b/>
                <w:sz w:val="20"/>
                <w:szCs w:val="20"/>
              </w:rPr>
              <w:t>6. Calculation of nMAE</w:t>
            </w:r>
          </w:p>
        </w:tc>
      </w:tr>
      <w:tr w:rsidR="00721A2D" w:rsidRPr="00CB5E46" w14:paraId="3FCD9061" w14:textId="77777777" w:rsidTr="00CB5E46">
        <w:trPr>
          <w:jc w:val="center"/>
        </w:trPr>
        <w:tc>
          <w:tcPr>
            <w:tcW w:w="5265" w:type="dxa"/>
          </w:tcPr>
          <w:p w14:paraId="73EAAD18" w14:textId="0C41C102" w:rsidR="00721A2D" w:rsidRPr="00CB5E46" w:rsidRDefault="009263D1" w:rsidP="00CB5E46">
            <w:pPr>
              <w:jc w:val="both"/>
              <w:rPr>
                <w:rFonts w:cs="Arial"/>
                <w:sz w:val="20"/>
                <w:szCs w:val="20"/>
              </w:rPr>
            </w:pPr>
            <w:r w:rsidRPr="00CB5E46">
              <w:rPr>
                <w:rFonts w:cs="Arial"/>
                <w:sz w:val="20"/>
                <w:szCs w:val="20"/>
              </w:rPr>
              <w:t>6.1.</w:t>
            </w:r>
            <w:r w:rsidR="00741138" w:rsidRPr="00CB5E46">
              <w:rPr>
                <w:rFonts w:cs="Arial"/>
                <w:sz w:val="20"/>
                <w:szCs w:val="20"/>
              </w:rPr>
              <w:t>Vertinimas atliekamas pagal normalizuotą vidutinę absoliučią paklaidą, nMAE. Skaičiuojant nMAE naudojama atitinkamos technologijos fiksuota mėnesio įrengtoji galia.</w:t>
            </w:r>
          </w:p>
        </w:tc>
        <w:tc>
          <w:tcPr>
            <w:tcW w:w="5265" w:type="dxa"/>
          </w:tcPr>
          <w:p w14:paraId="0CFF78E5" w14:textId="7928ED51" w:rsidR="00721A2D" w:rsidRPr="00CB5E46" w:rsidRDefault="009263D1" w:rsidP="00CB5E46">
            <w:pPr>
              <w:jc w:val="both"/>
              <w:rPr>
                <w:rFonts w:cs="Arial"/>
                <w:sz w:val="20"/>
                <w:szCs w:val="20"/>
              </w:rPr>
            </w:pPr>
            <w:r w:rsidRPr="00CB5E46">
              <w:rPr>
                <w:rFonts w:cs="Arial"/>
                <w:sz w:val="20"/>
                <w:szCs w:val="20"/>
              </w:rPr>
              <w:t>6.1.</w:t>
            </w:r>
            <w:r w:rsidR="00741138" w:rsidRPr="00CB5E46">
              <w:rPr>
                <w:rFonts w:cs="Arial"/>
                <w:sz w:val="20"/>
                <w:szCs w:val="20"/>
              </w:rPr>
              <w:t>The evaluation shall be carried out using the normalized Mean Absolute Error, nMAE. For the calculation of nMAE, the fixed monthly installed capacity of the respective technology shall be used.</w:t>
            </w:r>
          </w:p>
        </w:tc>
      </w:tr>
      <w:tr w:rsidR="00603103" w:rsidRPr="00CB5E46" w14:paraId="2B9C051F" w14:textId="77777777" w:rsidTr="00CB5E46">
        <w:trPr>
          <w:jc w:val="center"/>
        </w:trPr>
        <w:tc>
          <w:tcPr>
            <w:tcW w:w="5265" w:type="dxa"/>
          </w:tcPr>
          <w:p w14:paraId="3FA481B0" w14:textId="62AEC886" w:rsidR="00603103" w:rsidRPr="00137087" w:rsidRDefault="009263D1" w:rsidP="00CB5E46">
            <w:pPr>
              <w:jc w:val="both"/>
              <w:rPr>
                <w:rFonts w:cs="Arial"/>
                <w:sz w:val="20"/>
                <w:szCs w:val="20"/>
                <w:lang w:val="lt-LT"/>
              </w:rPr>
            </w:pPr>
            <w:r w:rsidRPr="00CB5E46">
              <w:rPr>
                <w:rFonts w:cs="Arial"/>
                <w:sz w:val="20"/>
                <w:szCs w:val="20"/>
              </w:rPr>
              <w:t>6.2.</w:t>
            </w:r>
            <w:r w:rsidR="00603103" w:rsidRPr="00CB5E46">
              <w:rPr>
                <w:rFonts w:cs="Arial"/>
                <w:sz w:val="20"/>
                <w:szCs w:val="20"/>
              </w:rPr>
              <w:t>nMAE apskaičiuojamas pagal formulę nurodytą priedo “Annex 4 SPC. Contract conditions (special)” 6.6.1 ir 6.7.1 punktus</w:t>
            </w:r>
            <w:r w:rsidR="00137087">
              <w:rPr>
                <w:rFonts w:cs="Arial"/>
                <w:sz w:val="20"/>
                <w:szCs w:val="20"/>
              </w:rPr>
              <w:t>.</w:t>
            </w:r>
          </w:p>
        </w:tc>
        <w:tc>
          <w:tcPr>
            <w:tcW w:w="5265" w:type="dxa"/>
          </w:tcPr>
          <w:p w14:paraId="45BE2B9D" w14:textId="5C05B99E" w:rsidR="00603103" w:rsidRPr="00CB5E46" w:rsidRDefault="009263D1" w:rsidP="00CB5E46">
            <w:pPr>
              <w:jc w:val="both"/>
              <w:rPr>
                <w:rFonts w:cs="Arial"/>
                <w:sz w:val="20"/>
                <w:szCs w:val="20"/>
              </w:rPr>
            </w:pPr>
            <w:r w:rsidRPr="00CB5E46">
              <w:rPr>
                <w:rFonts w:cs="Arial"/>
                <w:sz w:val="20"/>
                <w:szCs w:val="20"/>
              </w:rPr>
              <w:t xml:space="preserve">6.2. </w:t>
            </w:r>
            <w:r w:rsidR="00603103" w:rsidRPr="00CB5E46">
              <w:rPr>
                <w:rFonts w:cs="Arial"/>
                <w:sz w:val="20"/>
                <w:szCs w:val="20"/>
              </w:rPr>
              <w:t>nMAE shall be calculated according to the following formula in Annex 4 SPC. Contract conditions (special) 6.6.1 ir 6.7.1</w:t>
            </w:r>
            <w:r w:rsidR="00137087">
              <w:rPr>
                <w:rFonts w:cs="Arial"/>
                <w:sz w:val="20"/>
                <w:szCs w:val="20"/>
              </w:rPr>
              <w:t>.</w:t>
            </w:r>
          </w:p>
        </w:tc>
      </w:tr>
      <w:tr w:rsidR="00721A2D" w:rsidRPr="00CB5E46" w14:paraId="08C4D3B5" w14:textId="77777777" w:rsidTr="00CB5E46">
        <w:trPr>
          <w:jc w:val="center"/>
        </w:trPr>
        <w:tc>
          <w:tcPr>
            <w:tcW w:w="5265" w:type="dxa"/>
          </w:tcPr>
          <w:p w14:paraId="6AD807E2" w14:textId="3213541B" w:rsidR="00721A2D" w:rsidRPr="00CB5E46" w:rsidRDefault="009263D1" w:rsidP="00CB5E46">
            <w:pPr>
              <w:jc w:val="both"/>
              <w:rPr>
                <w:rFonts w:cs="Arial"/>
                <w:sz w:val="20"/>
                <w:szCs w:val="20"/>
              </w:rPr>
            </w:pPr>
            <w:r w:rsidRPr="00CB5E46">
              <w:rPr>
                <w:rFonts w:cs="Arial"/>
                <w:sz w:val="20"/>
                <w:szCs w:val="20"/>
              </w:rPr>
              <w:t>6.3.</w:t>
            </w:r>
            <w:r w:rsidR="00741138" w:rsidRPr="00CB5E46">
              <w:rPr>
                <w:rFonts w:cs="Arial"/>
                <w:sz w:val="20"/>
                <w:szCs w:val="20"/>
              </w:rPr>
              <w:t>Saulės elektrinių generacijos prognozės nMAE skaičiuojamas už visą demonstracijos mėnesį, įskaitant naktines reikšmes.</w:t>
            </w:r>
          </w:p>
        </w:tc>
        <w:tc>
          <w:tcPr>
            <w:tcW w:w="5265" w:type="dxa"/>
          </w:tcPr>
          <w:p w14:paraId="7CB36208" w14:textId="0D75A03E" w:rsidR="00721A2D" w:rsidRPr="00CB5E46" w:rsidRDefault="009263D1" w:rsidP="00CB5E46">
            <w:pPr>
              <w:jc w:val="both"/>
              <w:rPr>
                <w:rFonts w:cs="Arial"/>
                <w:sz w:val="20"/>
                <w:szCs w:val="20"/>
              </w:rPr>
            </w:pPr>
            <w:r w:rsidRPr="00CB5E46">
              <w:rPr>
                <w:rFonts w:cs="Arial"/>
                <w:sz w:val="20"/>
                <w:szCs w:val="20"/>
              </w:rPr>
              <w:t xml:space="preserve">6.3. </w:t>
            </w:r>
            <w:r w:rsidR="00741138" w:rsidRPr="00CB5E46">
              <w:rPr>
                <w:rFonts w:cs="Arial"/>
                <w:sz w:val="20"/>
                <w:szCs w:val="20"/>
              </w:rPr>
              <w:t>The nMAE of solar power generation forecasts shall be calculated for the entire demonstration month, including night-time values.</w:t>
            </w:r>
          </w:p>
        </w:tc>
      </w:tr>
      <w:tr w:rsidR="00721A2D" w:rsidRPr="00CB5E46" w14:paraId="30D918E2" w14:textId="77777777" w:rsidTr="00CB5E46">
        <w:trPr>
          <w:jc w:val="center"/>
        </w:trPr>
        <w:tc>
          <w:tcPr>
            <w:tcW w:w="5265" w:type="dxa"/>
            <w:shd w:val="clear" w:color="auto" w:fill="EDEDED"/>
          </w:tcPr>
          <w:p w14:paraId="01FA718B" w14:textId="77777777" w:rsidR="00721A2D" w:rsidRPr="00CB5E46" w:rsidRDefault="00741138" w:rsidP="00CB5E46">
            <w:pPr>
              <w:jc w:val="both"/>
              <w:rPr>
                <w:rFonts w:cs="Arial"/>
                <w:sz w:val="20"/>
                <w:szCs w:val="20"/>
              </w:rPr>
            </w:pPr>
            <w:r w:rsidRPr="00CB5E46">
              <w:rPr>
                <w:rFonts w:cs="Arial"/>
                <w:b/>
                <w:sz w:val="20"/>
                <w:szCs w:val="20"/>
              </w:rPr>
              <w:t>7. B1 ir B2 balų skyrimo principas</w:t>
            </w:r>
          </w:p>
        </w:tc>
        <w:tc>
          <w:tcPr>
            <w:tcW w:w="5265" w:type="dxa"/>
            <w:shd w:val="clear" w:color="auto" w:fill="EDEDED"/>
          </w:tcPr>
          <w:p w14:paraId="7FE28A1B" w14:textId="77777777" w:rsidR="00721A2D" w:rsidRPr="00CB5E46" w:rsidRDefault="00741138" w:rsidP="00CB5E46">
            <w:pPr>
              <w:jc w:val="both"/>
              <w:rPr>
                <w:rFonts w:cs="Arial"/>
                <w:sz w:val="20"/>
                <w:szCs w:val="20"/>
              </w:rPr>
            </w:pPr>
            <w:r w:rsidRPr="00CB5E46">
              <w:rPr>
                <w:rFonts w:cs="Arial"/>
                <w:b/>
                <w:sz w:val="20"/>
                <w:szCs w:val="20"/>
              </w:rPr>
              <w:t>7. Awarding of points under B1 and B2</w:t>
            </w:r>
          </w:p>
        </w:tc>
      </w:tr>
      <w:tr w:rsidR="00721A2D" w:rsidRPr="00CB5E46" w14:paraId="23371CEA" w14:textId="77777777" w:rsidTr="00CB5E46">
        <w:trPr>
          <w:jc w:val="center"/>
        </w:trPr>
        <w:tc>
          <w:tcPr>
            <w:tcW w:w="5265" w:type="dxa"/>
          </w:tcPr>
          <w:p w14:paraId="139C763D" w14:textId="226A9BED" w:rsidR="00721A2D" w:rsidRPr="00CB5E46" w:rsidRDefault="009263D1" w:rsidP="00CB5E46">
            <w:pPr>
              <w:jc w:val="both"/>
              <w:rPr>
                <w:rFonts w:cs="Arial"/>
                <w:sz w:val="20"/>
                <w:szCs w:val="20"/>
              </w:rPr>
            </w:pPr>
            <w:r w:rsidRPr="00CB5E46">
              <w:rPr>
                <w:rFonts w:cs="Arial"/>
                <w:sz w:val="20"/>
                <w:szCs w:val="20"/>
              </w:rPr>
              <w:t>7.1.</w:t>
            </w:r>
            <w:r w:rsidR="00741138" w:rsidRPr="00CB5E46">
              <w:rPr>
                <w:rFonts w:cs="Arial"/>
                <w:sz w:val="20"/>
                <w:szCs w:val="20"/>
              </w:rPr>
              <w:t>Vėjo ir saulės elektrinių generacijos prognozių tikslumas vertinamas atskirai. Vėjo prognozės tikslumas naudojamas B1 vertinimo punktui, o saulės prognozės tikslumas – B2 vertinimo punktui.</w:t>
            </w:r>
          </w:p>
        </w:tc>
        <w:tc>
          <w:tcPr>
            <w:tcW w:w="5265" w:type="dxa"/>
          </w:tcPr>
          <w:p w14:paraId="7470B75B" w14:textId="2D60CE25" w:rsidR="00721A2D" w:rsidRPr="00CB5E46" w:rsidRDefault="009263D1" w:rsidP="00CB5E46">
            <w:pPr>
              <w:jc w:val="both"/>
              <w:rPr>
                <w:rFonts w:cs="Arial"/>
                <w:sz w:val="20"/>
                <w:szCs w:val="20"/>
              </w:rPr>
            </w:pPr>
            <w:r w:rsidRPr="00CB5E46">
              <w:rPr>
                <w:rFonts w:cs="Arial"/>
                <w:sz w:val="20"/>
                <w:szCs w:val="20"/>
              </w:rPr>
              <w:t>7.1.</w:t>
            </w:r>
            <w:r w:rsidR="00741138" w:rsidRPr="00CB5E46">
              <w:rPr>
                <w:rFonts w:cs="Arial"/>
                <w:sz w:val="20"/>
                <w:szCs w:val="20"/>
              </w:rPr>
              <w:t>The accuracy of wind and solar power generation forecasts shall be evaluated separately. The accuracy of the wind forecast shall be used for evaluation item B1, and the accuracy of the solar forecast shall be used for evaluation item B2.</w:t>
            </w:r>
          </w:p>
        </w:tc>
      </w:tr>
      <w:tr w:rsidR="00721A2D" w:rsidRPr="00CB5E46" w14:paraId="5E06F126" w14:textId="77777777" w:rsidTr="00CB5E46">
        <w:trPr>
          <w:jc w:val="center"/>
        </w:trPr>
        <w:tc>
          <w:tcPr>
            <w:tcW w:w="5265" w:type="dxa"/>
          </w:tcPr>
          <w:p w14:paraId="145D046B" w14:textId="5375DA92" w:rsidR="00721A2D" w:rsidRPr="00CB5E46" w:rsidRDefault="009263D1" w:rsidP="00CB5E46">
            <w:pPr>
              <w:jc w:val="both"/>
              <w:rPr>
                <w:rFonts w:cs="Arial"/>
                <w:sz w:val="20"/>
                <w:szCs w:val="20"/>
              </w:rPr>
            </w:pPr>
            <w:r w:rsidRPr="00CB5E46">
              <w:rPr>
                <w:rFonts w:cs="Arial"/>
                <w:sz w:val="20"/>
                <w:szCs w:val="20"/>
              </w:rPr>
              <w:t>7.2.</w:t>
            </w:r>
            <w:r w:rsidR="00741138" w:rsidRPr="00CB5E46">
              <w:rPr>
                <w:rFonts w:cs="Arial"/>
                <w:sz w:val="20"/>
                <w:szCs w:val="20"/>
              </w:rPr>
              <w:t xml:space="preserve">B1 vėjo prognozės tikslumo vertinimo punktui skiriama ne daugiau kaip </w:t>
            </w:r>
            <w:r w:rsidR="001F2BE3" w:rsidRPr="00CB5E46">
              <w:rPr>
                <w:rFonts w:cs="Arial"/>
                <w:sz w:val="20"/>
                <w:szCs w:val="20"/>
              </w:rPr>
              <w:t>10</w:t>
            </w:r>
            <w:r w:rsidR="00741138" w:rsidRPr="00CB5E46">
              <w:rPr>
                <w:rFonts w:cs="Arial"/>
                <w:sz w:val="20"/>
                <w:szCs w:val="20"/>
              </w:rPr>
              <w:t xml:space="preserve"> taškų. B2 saulės prognozės tikslumo vertinimo punktui skiriama ne daugiau kaip </w:t>
            </w:r>
            <w:r w:rsidR="001F2BE3" w:rsidRPr="00CB5E46">
              <w:rPr>
                <w:rFonts w:cs="Arial"/>
                <w:sz w:val="20"/>
                <w:szCs w:val="20"/>
              </w:rPr>
              <w:t>15</w:t>
            </w:r>
            <w:r w:rsidR="00741138" w:rsidRPr="00CB5E46">
              <w:rPr>
                <w:rFonts w:cs="Arial"/>
                <w:sz w:val="20"/>
                <w:szCs w:val="20"/>
              </w:rPr>
              <w:t xml:space="preserve"> taškų.</w:t>
            </w:r>
          </w:p>
        </w:tc>
        <w:tc>
          <w:tcPr>
            <w:tcW w:w="5265" w:type="dxa"/>
          </w:tcPr>
          <w:p w14:paraId="4F7F3451" w14:textId="4929F565" w:rsidR="00721A2D" w:rsidRPr="00CB5E46" w:rsidRDefault="009263D1" w:rsidP="00CB5E46">
            <w:pPr>
              <w:jc w:val="both"/>
              <w:rPr>
                <w:rFonts w:cs="Arial"/>
                <w:sz w:val="20"/>
                <w:szCs w:val="20"/>
              </w:rPr>
            </w:pPr>
            <w:r w:rsidRPr="00CB5E46">
              <w:rPr>
                <w:rFonts w:cs="Arial"/>
                <w:sz w:val="20"/>
                <w:szCs w:val="20"/>
              </w:rPr>
              <w:t xml:space="preserve">7.2. </w:t>
            </w:r>
            <w:r w:rsidR="00741138" w:rsidRPr="00CB5E46">
              <w:rPr>
                <w:rFonts w:cs="Arial"/>
                <w:sz w:val="20"/>
                <w:szCs w:val="20"/>
              </w:rPr>
              <w:t>Evaluation item B1 for wind forecast accuracy shall be assigned a maximum of 1</w:t>
            </w:r>
            <w:r w:rsidR="001F2BE3" w:rsidRPr="00CB5E46">
              <w:rPr>
                <w:rFonts w:cs="Arial"/>
                <w:sz w:val="20"/>
                <w:szCs w:val="20"/>
              </w:rPr>
              <w:t>0</w:t>
            </w:r>
            <w:r w:rsidR="00741138" w:rsidRPr="00CB5E46">
              <w:rPr>
                <w:rFonts w:cs="Arial"/>
                <w:sz w:val="20"/>
                <w:szCs w:val="20"/>
              </w:rPr>
              <w:t xml:space="preserve"> points. Evaluation item B2 for solar forecast accuracy shall be assigned a maximum of </w:t>
            </w:r>
            <w:r w:rsidR="001F2BE3" w:rsidRPr="00CB5E46">
              <w:rPr>
                <w:rFonts w:cs="Arial"/>
                <w:sz w:val="20"/>
                <w:szCs w:val="20"/>
              </w:rPr>
              <w:t>15</w:t>
            </w:r>
            <w:r w:rsidR="00741138" w:rsidRPr="00CB5E46">
              <w:rPr>
                <w:rFonts w:cs="Arial"/>
                <w:sz w:val="20"/>
                <w:szCs w:val="20"/>
              </w:rPr>
              <w:t xml:space="preserve"> points.</w:t>
            </w:r>
          </w:p>
        </w:tc>
      </w:tr>
      <w:tr w:rsidR="00721A2D" w:rsidRPr="00CB5E46" w14:paraId="228B2CEB" w14:textId="77777777" w:rsidTr="00CB5E46">
        <w:trPr>
          <w:jc w:val="center"/>
        </w:trPr>
        <w:tc>
          <w:tcPr>
            <w:tcW w:w="5265" w:type="dxa"/>
          </w:tcPr>
          <w:p w14:paraId="4B5E23F5" w14:textId="25A97F35" w:rsidR="00721A2D" w:rsidRPr="00CB5E46" w:rsidRDefault="009263D1" w:rsidP="00CB5E46">
            <w:pPr>
              <w:jc w:val="both"/>
              <w:rPr>
                <w:rFonts w:cs="Arial"/>
                <w:sz w:val="20"/>
                <w:szCs w:val="20"/>
              </w:rPr>
            </w:pPr>
            <w:r w:rsidRPr="00CB5E46">
              <w:rPr>
                <w:rFonts w:cs="Arial"/>
                <w:sz w:val="20"/>
                <w:szCs w:val="20"/>
              </w:rPr>
              <w:t xml:space="preserve">7.3. </w:t>
            </w:r>
            <w:r w:rsidR="00741138" w:rsidRPr="00CB5E46">
              <w:rPr>
                <w:rFonts w:cs="Arial"/>
                <w:sz w:val="20"/>
                <w:szCs w:val="20"/>
              </w:rPr>
              <w:t xml:space="preserve">Taškai skiriami pagal iš anksto nustatytus absoliučius nMAE rėžius, kurie pateikiami </w:t>
            </w:r>
            <w:r w:rsidR="00A8623A">
              <w:rPr>
                <w:rFonts w:cs="Arial"/>
                <w:sz w:val="20"/>
                <w:szCs w:val="20"/>
              </w:rPr>
              <w:t xml:space="preserve">SPS </w:t>
            </w:r>
            <w:r w:rsidR="00741138" w:rsidRPr="00CB5E46">
              <w:rPr>
                <w:rFonts w:cs="Arial"/>
                <w:sz w:val="20"/>
                <w:szCs w:val="20"/>
              </w:rPr>
              <w:t xml:space="preserve">Priede </w:t>
            </w:r>
            <w:r w:rsidR="00D45C40">
              <w:rPr>
                <w:rFonts w:cs="Arial"/>
                <w:sz w:val="20"/>
                <w:szCs w:val="20"/>
              </w:rPr>
              <w:t>1</w:t>
            </w:r>
            <w:r w:rsidR="00A8623A">
              <w:rPr>
                <w:rFonts w:cs="Arial"/>
                <w:sz w:val="20"/>
                <w:szCs w:val="20"/>
              </w:rPr>
              <w:t>2</w:t>
            </w:r>
            <w:r w:rsidR="00741138" w:rsidRPr="00CB5E46">
              <w:rPr>
                <w:rFonts w:cs="Arial"/>
                <w:sz w:val="20"/>
                <w:szCs w:val="20"/>
              </w:rPr>
              <w:t>.</w:t>
            </w:r>
            <w:r w:rsidR="00A8623A">
              <w:rPr>
                <w:rFonts w:cs="Arial"/>
                <w:sz w:val="20"/>
                <w:szCs w:val="20"/>
              </w:rPr>
              <w:t>2</w:t>
            </w:r>
            <w:r w:rsidR="00741138" w:rsidRPr="00CB5E46">
              <w:rPr>
                <w:rFonts w:cs="Arial"/>
                <w:sz w:val="20"/>
                <w:szCs w:val="20"/>
              </w:rPr>
              <w:t xml:space="preserve"> „Demonstracijos vertinimo lentelė“. Jeigu tiekėjo rezultatas patenka į atitinkamą rėžį, skiriamas tame rėžyje nurodytas balų skaičius. Geresniam nei maksimalios ribos rezultatui papildomi taškai neskiriami.</w:t>
            </w:r>
          </w:p>
        </w:tc>
        <w:tc>
          <w:tcPr>
            <w:tcW w:w="5265" w:type="dxa"/>
          </w:tcPr>
          <w:p w14:paraId="75965015" w14:textId="50EE0E4C" w:rsidR="00721A2D" w:rsidRPr="00CB5E46" w:rsidRDefault="009263D1" w:rsidP="00CB5E46">
            <w:pPr>
              <w:jc w:val="both"/>
              <w:rPr>
                <w:rFonts w:cs="Arial"/>
                <w:sz w:val="20"/>
                <w:szCs w:val="20"/>
              </w:rPr>
            </w:pPr>
            <w:r w:rsidRPr="00CB5E46">
              <w:rPr>
                <w:rFonts w:cs="Arial"/>
                <w:sz w:val="20"/>
                <w:szCs w:val="20"/>
              </w:rPr>
              <w:t>7.3.</w:t>
            </w:r>
            <w:r w:rsidR="00741138" w:rsidRPr="00CB5E46">
              <w:rPr>
                <w:rFonts w:cs="Arial"/>
                <w:sz w:val="20"/>
                <w:szCs w:val="20"/>
              </w:rPr>
              <w:t xml:space="preserve"> </w:t>
            </w:r>
            <w:r w:rsidR="00A8623A" w:rsidRPr="00A8623A">
              <w:rPr>
                <w:rFonts w:cs="Arial"/>
                <w:sz w:val="20"/>
                <w:szCs w:val="20"/>
              </w:rPr>
              <w:t>Points are awarded based on predetermined absolute nMAE thresholds, which are provided in Annex 12.2 'Demonstration Evaluation Table' to the S</w:t>
            </w:r>
            <w:r w:rsidR="00A8623A">
              <w:rPr>
                <w:rFonts w:cs="Arial"/>
                <w:sz w:val="20"/>
                <w:szCs w:val="20"/>
              </w:rPr>
              <w:t>P</w:t>
            </w:r>
            <w:r w:rsidR="00A8623A" w:rsidRPr="00A8623A">
              <w:rPr>
                <w:rFonts w:cs="Arial"/>
                <w:sz w:val="20"/>
                <w:szCs w:val="20"/>
              </w:rPr>
              <w:t>C. If the supplier's result falls within a specific threshold, the number of points specified for that threshold shall be awarded. No additional points are awarded for results that exceed the maximum limit.</w:t>
            </w:r>
          </w:p>
        </w:tc>
      </w:tr>
      <w:tr w:rsidR="00721A2D" w:rsidRPr="00CB5E46" w14:paraId="170968A2" w14:textId="77777777" w:rsidTr="00CB5E46">
        <w:trPr>
          <w:trHeight w:val="847"/>
          <w:jc w:val="center"/>
        </w:trPr>
        <w:tc>
          <w:tcPr>
            <w:tcW w:w="5265" w:type="dxa"/>
          </w:tcPr>
          <w:p w14:paraId="5046ED71" w14:textId="40546F16" w:rsidR="00721A2D" w:rsidRPr="00CB5E46" w:rsidRDefault="009263D1" w:rsidP="00CB5E46">
            <w:pPr>
              <w:jc w:val="both"/>
              <w:rPr>
                <w:rFonts w:cs="Arial"/>
                <w:sz w:val="20"/>
                <w:szCs w:val="20"/>
              </w:rPr>
            </w:pPr>
            <w:r w:rsidRPr="00CB5E46">
              <w:rPr>
                <w:rFonts w:cs="Arial"/>
                <w:sz w:val="20"/>
                <w:szCs w:val="20"/>
              </w:rPr>
              <w:lastRenderedPageBreak/>
              <w:t>7.4.</w:t>
            </w:r>
            <w:r w:rsidR="00741138" w:rsidRPr="00CB5E46">
              <w:rPr>
                <w:rFonts w:cs="Arial"/>
                <w:sz w:val="20"/>
                <w:szCs w:val="20"/>
              </w:rPr>
              <w:t>Pagal demonstracijos metu apskaičiuotą nMAE pasiūlymai neatmetami. nMAE reikšmės naudojamos tik ekonominio naudingumo balams pagal B1 ir B2 vertinimo punktus apskaičiuoti.</w:t>
            </w:r>
          </w:p>
        </w:tc>
        <w:tc>
          <w:tcPr>
            <w:tcW w:w="5265" w:type="dxa"/>
          </w:tcPr>
          <w:p w14:paraId="4C0FD91F" w14:textId="25AB3A38" w:rsidR="006D554A" w:rsidRPr="00CB5E46" w:rsidRDefault="009263D1" w:rsidP="00CB5E46">
            <w:pPr>
              <w:jc w:val="both"/>
              <w:rPr>
                <w:rFonts w:cs="Arial"/>
                <w:sz w:val="20"/>
                <w:szCs w:val="20"/>
              </w:rPr>
            </w:pPr>
            <w:r w:rsidRPr="00CB5E46">
              <w:rPr>
                <w:rFonts w:cs="Arial"/>
                <w:sz w:val="20"/>
                <w:szCs w:val="20"/>
              </w:rPr>
              <w:t>7.4.</w:t>
            </w:r>
            <w:r w:rsidR="00741138" w:rsidRPr="00CB5E46">
              <w:rPr>
                <w:rFonts w:cs="Arial"/>
                <w:sz w:val="20"/>
                <w:szCs w:val="20"/>
              </w:rPr>
              <w:t>Tender offers shall not be rejected on the basis of the nMAE calculated during the demonstration. The nMAE values shall be used only to calculate the economically most advantageous tender scores under evaluation items B1 and B2.</w:t>
            </w:r>
          </w:p>
        </w:tc>
      </w:tr>
      <w:tr w:rsidR="00721A2D" w:rsidRPr="00CB5E46" w14:paraId="242C07AB" w14:textId="77777777" w:rsidTr="00CB5E46">
        <w:trPr>
          <w:trHeight w:val="99"/>
          <w:jc w:val="center"/>
        </w:trPr>
        <w:tc>
          <w:tcPr>
            <w:tcW w:w="5265" w:type="dxa"/>
            <w:shd w:val="clear" w:color="auto" w:fill="EDEDED"/>
          </w:tcPr>
          <w:p w14:paraId="5EFFD7AE" w14:textId="77777777" w:rsidR="00721A2D" w:rsidRPr="00CB5E46" w:rsidRDefault="00741138" w:rsidP="00CB5E46">
            <w:pPr>
              <w:jc w:val="both"/>
              <w:rPr>
                <w:rFonts w:cs="Arial"/>
                <w:sz w:val="20"/>
                <w:szCs w:val="20"/>
              </w:rPr>
            </w:pPr>
            <w:r w:rsidRPr="00CB5E46">
              <w:rPr>
                <w:rFonts w:cs="Arial"/>
                <w:b/>
                <w:sz w:val="20"/>
                <w:szCs w:val="20"/>
              </w:rPr>
              <w:t>8. Kalba</w:t>
            </w:r>
          </w:p>
        </w:tc>
        <w:tc>
          <w:tcPr>
            <w:tcW w:w="5265" w:type="dxa"/>
            <w:shd w:val="clear" w:color="auto" w:fill="EDEDED"/>
          </w:tcPr>
          <w:p w14:paraId="18021D55" w14:textId="77777777" w:rsidR="00721A2D" w:rsidRPr="00CB5E46" w:rsidRDefault="00741138" w:rsidP="00CB5E46">
            <w:pPr>
              <w:jc w:val="both"/>
              <w:rPr>
                <w:rFonts w:cs="Arial"/>
                <w:sz w:val="20"/>
                <w:szCs w:val="20"/>
              </w:rPr>
            </w:pPr>
            <w:r w:rsidRPr="00CB5E46">
              <w:rPr>
                <w:rFonts w:cs="Arial"/>
                <w:b/>
                <w:sz w:val="20"/>
                <w:szCs w:val="20"/>
              </w:rPr>
              <w:t>8. Language</w:t>
            </w:r>
          </w:p>
        </w:tc>
      </w:tr>
      <w:tr w:rsidR="00721A2D" w:rsidRPr="00CB5E46" w14:paraId="25C9091C" w14:textId="77777777" w:rsidTr="00CB5E46">
        <w:trPr>
          <w:jc w:val="center"/>
        </w:trPr>
        <w:tc>
          <w:tcPr>
            <w:tcW w:w="5265" w:type="dxa"/>
          </w:tcPr>
          <w:p w14:paraId="482EF107" w14:textId="185047C5" w:rsidR="00721A2D" w:rsidRPr="00CB5E46" w:rsidRDefault="009263D1" w:rsidP="00CB5E46">
            <w:pPr>
              <w:jc w:val="both"/>
              <w:rPr>
                <w:rFonts w:cs="Arial"/>
                <w:sz w:val="20"/>
                <w:szCs w:val="20"/>
              </w:rPr>
            </w:pPr>
            <w:r w:rsidRPr="00CB5E46">
              <w:rPr>
                <w:rFonts w:cs="Arial"/>
                <w:sz w:val="20"/>
                <w:szCs w:val="20"/>
              </w:rPr>
              <w:t>8.1.</w:t>
            </w:r>
            <w:r w:rsidR="00741138" w:rsidRPr="00CB5E46">
              <w:rPr>
                <w:rFonts w:cs="Arial"/>
                <w:sz w:val="20"/>
                <w:szCs w:val="20"/>
              </w:rPr>
              <w:t>Jeigu tarp lietuviškos ir angliškos šio priedo versijų yra neatitikimų, pirmenybė teikiama angliškai versijai.</w:t>
            </w:r>
          </w:p>
        </w:tc>
        <w:tc>
          <w:tcPr>
            <w:tcW w:w="5265" w:type="dxa"/>
          </w:tcPr>
          <w:p w14:paraId="4BE18570" w14:textId="42DBBDF9" w:rsidR="00721A2D" w:rsidRPr="00CB5E46" w:rsidRDefault="009263D1" w:rsidP="00CB5E46">
            <w:pPr>
              <w:jc w:val="both"/>
              <w:rPr>
                <w:rFonts w:cs="Arial"/>
                <w:sz w:val="20"/>
                <w:szCs w:val="20"/>
              </w:rPr>
            </w:pPr>
            <w:r w:rsidRPr="00CB5E46">
              <w:rPr>
                <w:rFonts w:cs="Arial"/>
                <w:sz w:val="20"/>
                <w:szCs w:val="20"/>
              </w:rPr>
              <w:t>8.1.</w:t>
            </w:r>
            <w:r w:rsidR="00741138" w:rsidRPr="00CB5E46">
              <w:rPr>
                <w:rFonts w:cs="Arial"/>
                <w:sz w:val="20"/>
                <w:szCs w:val="20"/>
              </w:rPr>
              <w:t>In case of discrepancies between the Lithuanian and English versions of this Annex, the English version shall prevail.</w:t>
            </w:r>
          </w:p>
        </w:tc>
      </w:tr>
    </w:tbl>
    <w:p w14:paraId="71D590B2" w14:textId="77777777" w:rsidR="00D45C40" w:rsidRDefault="00D45C40" w:rsidP="00CB5E46">
      <w:pPr>
        <w:jc w:val="both"/>
        <w:rPr>
          <w:rFonts w:cs="Arial"/>
          <w:sz w:val="20"/>
          <w:szCs w:val="20"/>
        </w:rPr>
      </w:pPr>
    </w:p>
    <w:p w14:paraId="31983471" w14:textId="77777777" w:rsidR="00D45C40" w:rsidRDefault="00D45C40" w:rsidP="00CB5E46">
      <w:pPr>
        <w:jc w:val="both"/>
        <w:rPr>
          <w:rFonts w:cs="Arial"/>
          <w:sz w:val="20"/>
          <w:szCs w:val="20"/>
        </w:rPr>
      </w:pPr>
      <w:r>
        <w:rPr>
          <w:rFonts w:cs="Arial"/>
          <w:sz w:val="20"/>
          <w:szCs w:val="20"/>
        </w:rPr>
        <w:t>PRIEDAI:</w:t>
      </w:r>
    </w:p>
    <w:p w14:paraId="00A474A5" w14:textId="369D47E2" w:rsidR="008F45F1" w:rsidRPr="00A8623A" w:rsidRDefault="008F45F1" w:rsidP="00A8623A">
      <w:pPr>
        <w:pStyle w:val="ListParagraph"/>
        <w:numPr>
          <w:ilvl w:val="0"/>
          <w:numId w:val="12"/>
        </w:numPr>
        <w:jc w:val="both"/>
        <w:rPr>
          <w:rFonts w:cs="Arial"/>
          <w:sz w:val="20"/>
          <w:szCs w:val="20"/>
        </w:rPr>
      </w:pPr>
      <w:r w:rsidRPr="00A8623A">
        <w:rPr>
          <w:rFonts w:cs="Arial"/>
          <w:sz w:val="20"/>
          <w:szCs w:val="20"/>
        </w:rPr>
        <w:t>Faktiniai istoriniai duomenys</w:t>
      </w:r>
      <w:r w:rsidR="00EC2572">
        <w:rPr>
          <w:rFonts w:cs="Arial"/>
          <w:sz w:val="20"/>
          <w:szCs w:val="20"/>
        </w:rPr>
        <w:t xml:space="preserve">  (SPS Priedas Nr. 12.1)</w:t>
      </w:r>
      <w:r w:rsidRPr="00A8623A">
        <w:rPr>
          <w:rFonts w:cs="Arial"/>
          <w:sz w:val="20"/>
          <w:szCs w:val="20"/>
        </w:rPr>
        <w:t>/ Factual historical data</w:t>
      </w:r>
      <w:r w:rsidR="00EC2572">
        <w:rPr>
          <w:rFonts w:cs="Arial"/>
          <w:sz w:val="20"/>
          <w:szCs w:val="20"/>
        </w:rPr>
        <w:t xml:space="preserve"> (SPC Annex No. 12.1).</w:t>
      </w:r>
    </w:p>
    <w:p w14:paraId="2C6F2E78" w14:textId="24176C08" w:rsidR="00721A2D" w:rsidRPr="00CB5E46" w:rsidRDefault="00741138" w:rsidP="00CB5E46">
      <w:pPr>
        <w:jc w:val="both"/>
        <w:rPr>
          <w:rFonts w:cs="Arial"/>
          <w:sz w:val="20"/>
          <w:szCs w:val="20"/>
        </w:rPr>
      </w:pPr>
      <w:r w:rsidRPr="00CB5E46">
        <w:rPr>
          <w:rFonts w:cs="Arial"/>
          <w:sz w:val="20"/>
          <w:szCs w:val="20"/>
        </w:rPr>
        <w:br/>
        <w:t>________________________</w:t>
      </w:r>
    </w:p>
    <w:p w14:paraId="574071B2" w14:textId="77777777" w:rsidR="00CB5E46" w:rsidRPr="00CB5E46" w:rsidRDefault="00CB5E46">
      <w:pPr>
        <w:jc w:val="both"/>
        <w:rPr>
          <w:rFonts w:cs="Arial"/>
          <w:sz w:val="20"/>
          <w:szCs w:val="20"/>
        </w:rPr>
      </w:pPr>
    </w:p>
    <w:sectPr w:rsidR="00CB5E46" w:rsidRPr="00CB5E46" w:rsidSect="00034616">
      <w:headerReference w:type="even" r:id="rId10"/>
      <w:headerReference w:type="default" r:id="rId11"/>
      <w:headerReference w:type="first" r:id="rId12"/>
      <w:pgSz w:w="12240" w:h="15840"/>
      <w:pgMar w:top="850" w:right="850" w:bottom="85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ADD56" w14:textId="77777777" w:rsidR="00693A9F" w:rsidRDefault="00693A9F" w:rsidP="00603103">
      <w:pPr>
        <w:spacing w:after="0" w:line="240" w:lineRule="auto"/>
      </w:pPr>
      <w:r>
        <w:separator/>
      </w:r>
    </w:p>
  </w:endnote>
  <w:endnote w:type="continuationSeparator" w:id="0">
    <w:p w14:paraId="2BC14D98" w14:textId="77777777" w:rsidR="00693A9F" w:rsidRDefault="00693A9F" w:rsidP="00603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73E4" w14:textId="77777777" w:rsidR="00693A9F" w:rsidRDefault="00693A9F" w:rsidP="00603103">
      <w:pPr>
        <w:spacing w:after="0" w:line="240" w:lineRule="auto"/>
      </w:pPr>
      <w:r>
        <w:separator/>
      </w:r>
    </w:p>
  </w:footnote>
  <w:footnote w:type="continuationSeparator" w:id="0">
    <w:p w14:paraId="0499912F" w14:textId="77777777" w:rsidR="00693A9F" w:rsidRDefault="00693A9F" w:rsidP="006031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3EAB" w14:textId="4F1BAEEC" w:rsidR="00603103" w:rsidRDefault="006031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6CF0" w14:textId="28E69EB7" w:rsidR="00603103" w:rsidRDefault="006031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5C88B" w14:textId="424DA9F0" w:rsidR="00603103" w:rsidRDefault="006031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BA05CA7"/>
    <w:multiLevelType w:val="multilevel"/>
    <w:tmpl w:val="732AA85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4D36D8"/>
    <w:multiLevelType w:val="multilevel"/>
    <w:tmpl w:val="58A88D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0C0176"/>
    <w:multiLevelType w:val="multilevel"/>
    <w:tmpl w:val="66D430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D0F6CEA"/>
    <w:multiLevelType w:val="hybridMultilevel"/>
    <w:tmpl w:val="9B28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1029343">
    <w:abstractNumId w:val="1"/>
  </w:num>
  <w:num w:numId="2" w16cid:durableId="1048142777">
    <w:abstractNumId w:val="7"/>
  </w:num>
  <w:num w:numId="3" w16cid:durableId="1460998058">
    <w:abstractNumId w:val="3"/>
  </w:num>
  <w:num w:numId="4" w16cid:durableId="1475678123">
    <w:abstractNumId w:val="11"/>
  </w:num>
  <w:num w:numId="5" w16cid:durableId="1562524398">
    <w:abstractNumId w:val="8"/>
  </w:num>
  <w:num w:numId="6" w16cid:durableId="1624339662">
    <w:abstractNumId w:val="9"/>
  </w:num>
  <w:num w:numId="7" w16cid:durableId="1697846749">
    <w:abstractNumId w:val="10"/>
  </w:num>
  <w:num w:numId="8" w16cid:durableId="1756585144">
    <w:abstractNumId w:val="0"/>
  </w:num>
  <w:num w:numId="9" w16cid:durableId="250702370">
    <w:abstractNumId w:val="4"/>
  </w:num>
  <w:num w:numId="10" w16cid:durableId="587469146">
    <w:abstractNumId w:val="2"/>
  </w:num>
  <w:num w:numId="11" w16cid:durableId="69500731">
    <w:abstractNumId w:val="5"/>
  </w:num>
  <w:num w:numId="12" w16cid:durableId="864442502">
    <w:abstractNumId w:val="12"/>
  </w:num>
  <w:num w:numId="13" w16cid:durableId="9388766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7EC0"/>
    <w:rsid w:val="00034616"/>
    <w:rsid w:val="0006063C"/>
    <w:rsid w:val="000C2A0F"/>
    <w:rsid w:val="000F008A"/>
    <w:rsid w:val="00137087"/>
    <w:rsid w:val="0015074B"/>
    <w:rsid w:val="0018098D"/>
    <w:rsid w:val="00182ACF"/>
    <w:rsid w:val="001B64B7"/>
    <w:rsid w:val="001E5A0B"/>
    <w:rsid w:val="001F2BE3"/>
    <w:rsid w:val="001F397B"/>
    <w:rsid w:val="0029639D"/>
    <w:rsid w:val="002A4AC5"/>
    <w:rsid w:val="002B25CE"/>
    <w:rsid w:val="002C6FB0"/>
    <w:rsid w:val="00326F90"/>
    <w:rsid w:val="0044773F"/>
    <w:rsid w:val="004662BA"/>
    <w:rsid w:val="004A3534"/>
    <w:rsid w:val="00587D8E"/>
    <w:rsid w:val="005D3AC3"/>
    <w:rsid w:val="005D4EFB"/>
    <w:rsid w:val="005F7687"/>
    <w:rsid w:val="00603103"/>
    <w:rsid w:val="0064040F"/>
    <w:rsid w:val="00654171"/>
    <w:rsid w:val="006579AE"/>
    <w:rsid w:val="00672F1B"/>
    <w:rsid w:val="00693A9F"/>
    <w:rsid w:val="006D554A"/>
    <w:rsid w:val="006E0978"/>
    <w:rsid w:val="00721A2D"/>
    <w:rsid w:val="007222A7"/>
    <w:rsid w:val="00741138"/>
    <w:rsid w:val="00767F80"/>
    <w:rsid w:val="00780D2D"/>
    <w:rsid w:val="007C533C"/>
    <w:rsid w:val="007D75F2"/>
    <w:rsid w:val="007F1F96"/>
    <w:rsid w:val="00800E58"/>
    <w:rsid w:val="00870C87"/>
    <w:rsid w:val="00871513"/>
    <w:rsid w:val="008F45F1"/>
    <w:rsid w:val="00900534"/>
    <w:rsid w:val="009151CA"/>
    <w:rsid w:val="009263D1"/>
    <w:rsid w:val="00941169"/>
    <w:rsid w:val="00971E71"/>
    <w:rsid w:val="009F4F57"/>
    <w:rsid w:val="00A10E35"/>
    <w:rsid w:val="00A17AB4"/>
    <w:rsid w:val="00A24669"/>
    <w:rsid w:val="00A2646F"/>
    <w:rsid w:val="00A8623A"/>
    <w:rsid w:val="00A868EC"/>
    <w:rsid w:val="00A96EAE"/>
    <w:rsid w:val="00AA1D8D"/>
    <w:rsid w:val="00AA1DE5"/>
    <w:rsid w:val="00AA3B79"/>
    <w:rsid w:val="00AB6330"/>
    <w:rsid w:val="00AF6FAE"/>
    <w:rsid w:val="00AF7B73"/>
    <w:rsid w:val="00B06275"/>
    <w:rsid w:val="00B460CA"/>
    <w:rsid w:val="00B47730"/>
    <w:rsid w:val="00BA173D"/>
    <w:rsid w:val="00BE03D9"/>
    <w:rsid w:val="00BE71F6"/>
    <w:rsid w:val="00C37BA8"/>
    <w:rsid w:val="00C40BD3"/>
    <w:rsid w:val="00C42D7A"/>
    <w:rsid w:val="00C46A6D"/>
    <w:rsid w:val="00CB0664"/>
    <w:rsid w:val="00CB5E46"/>
    <w:rsid w:val="00D45C40"/>
    <w:rsid w:val="00D50327"/>
    <w:rsid w:val="00D554A6"/>
    <w:rsid w:val="00E463ED"/>
    <w:rsid w:val="00E72361"/>
    <w:rsid w:val="00E76704"/>
    <w:rsid w:val="00E840C1"/>
    <w:rsid w:val="00EA513C"/>
    <w:rsid w:val="00EC2572"/>
    <w:rsid w:val="00EE5BD0"/>
    <w:rsid w:val="00FC693F"/>
    <w:rsid w:val="00FE4E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B09D20B"/>
  <w14:defaultImageDpi w14:val="300"/>
  <w15:docId w15:val="{F1D07B6C-642D-4DF2-9F8D-1146FF09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5"/>
      </w:numPr>
      <w:contextualSpacing/>
    </w:pPr>
  </w:style>
  <w:style w:type="paragraph" w:styleId="ListBullet2">
    <w:name w:val="List Bullet 2"/>
    <w:basedOn w:val="Normal"/>
    <w:uiPriority w:val="99"/>
    <w:unhideWhenUsed/>
    <w:rsid w:val="00326F90"/>
    <w:pPr>
      <w:numPr>
        <w:numId w:val="13"/>
      </w:numPr>
      <w:contextualSpacing/>
    </w:pPr>
  </w:style>
  <w:style w:type="paragraph" w:styleId="ListBullet3">
    <w:name w:val="List Bullet 3"/>
    <w:basedOn w:val="Normal"/>
    <w:uiPriority w:val="99"/>
    <w:unhideWhenUsed/>
    <w:rsid w:val="00326F90"/>
    <w:pPr>
      <w:numPr>
        <w:numId w:val="11"/>
      </w:numPr>
      <w:contextualSpacing/>
    </w:pPr>
  </w:style>
  <w:style w:type="paragraph" w:styleId="ListNumber">
    <w:name w:val="List Number"/>
    <w:basedOn w:val="Normal"/>
    <w:uiPriority w:val="99"/>
    <w:unhideWhenUsed/>
    <w:rsid w:val="00326F90"/>
    <w:pPr>
      <w:numPr>
        <w:numId w:val="2"/>
      </w:numPr>
      <w:contextualSpacing/>
    </w:pPr>
  </w:style>
  <w:style w:type="paragraph" w:styleId="ListNumber2">
    <w:name w:val="List Number 2"/>
    <w:basedOn w:val="Normal"/>
    <w:uiPriority w:val="99"/>
    <w:unhideWhenUsed/>
    <w:rsid w:val="0029639D"/>
    <w:pPr>
      <w:numPr>
        <w:numId w:val="3"/>
      </w:numPr>
      <w:contextualSpacing/>
    </w:pPr>
  </w:style>
  <w:style w:type="paragraph" w:styleId="ListNumber3">
    <w:name w:val="List Number 3"/>
    <w:basedOn w:val="Normal"/>
    <w:uiPriority w:val="99"/>
    <w:unhideWhenUsed/>
    <w:rsid w:val="0029639D"/>
    <w:pPr>
      <w:numPr>
        <w:numId w:val="10"/>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941169"/>
    <w:pPr>
      <w:spacing w:after="0" w:line="240" w:lineRule="auto"/>
    </w:pPr>
    <w:rPr>
      <w:rFonts w:ascii="Arial" w:eastAsia="Arial" w:hAnsi="Arial"/>
      <w:sz w:val="18"/>
    </w:rPr>
  </w:style>
  <w:style w:type="character" w:styleId="CommentReference">
    <w:name w:val="annotation reference"/>
    <w:basedOn w:val="DefaultParagraphFont"/>
    <w:uiPriority w:val="99"/>
    <w:semiHidden/>
    <w:unhideWhenUsed/>
    <w:rsid w:val="00800E58"/>
    <w:rPr>
      <w:sz w:val="16"/>
      <w:szCs w:val="16"/>
    </w:rPr>
  </w:style>
  <w:style w:type="paragraph" w:styleId="CommentText">
    <w:name w:val="annotation text"/>
    <w:basedOn w:val="Normal"/>
    <w:link w:val="CommentTextChar"/>
    <w:uiPriority w:val="99"/>
    <w:unhideWhenUsed/>
    <w:rsid w:val="00800E58"/>
    <w:pPr>
      <w:spacing w:line="240" w:lineRule="auto"/>
    </w:pPr>
    <w:rPr>
      <w:sz w:val="20"/>
      <w:szCs w:val="20"/>
    </w:rPr>
  </w:style>
  <w:style w:type="character" w:customStyle="1" w:styleId="CommentTextChar">
    <w:name w:val="Comment Text Char"/>
    <w:basedOn w:val="DefaultParagraphFont"/>
    <w:link w:val="CommentText"/>
    <w:uiPriority w:val="99"/>
    <w:rsid w:val="00800E58"/>
    <w:rPr>
      <w:rFonts w:ascii="Arial" w:eastAsia="Arial" w:hAnsi="Arial"/>
      <w:sz w:val="20"/>
      <w:szCs w:val="20"/>
    </w:rPr>
  </w:style>
  <w:style w:type="paragraph" w:styleId="CommentSubject">
    <w:name w:val="annotation subject"/>
    <w:basedOn w:val="CommentText"/>
    <w:next w:val="CommentText"/>
    <w:link w:val="CommentSubjectChar"/>
    <w:uiPriority w:val="99"/>
    <w:semiHidden/>
    <w:unhideWhenUsed/>
    <w:rsid w:val="00800E58"/>
    <w:rPr>
      <w:b/>
      <w:bCs/>
    </w:rPr>
  </w:style>
  <w:style w:type="character" w:customStyle="1" w:styleId="CommentSubjectChar">
    <w:name w:val="Comment Subject Char"/>
    <w:basedOn w:val="CommentTextChar"/>
    <w:link w:val="CommentSubject"/>
    <w:uiPriority w:val="99"/>
    <w:semiHidden/>
    <w:rsid w:val="00800E58"/>
    <w:rPr>
      <w:rFonts w:ascii="Arial" w:eastAsia="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038D44-F0E4-4573-9D1F-323C02C9C1E4}">
  <ds:schemaRefs>
    <ds:schemaRef ds:uri="http://schemas.microsoft.com/sharepoint/v3/contenttype/forms"/>
  </ds:schemaRefs>
</ds:datastoreItem>
</file>

<file path=customXml/itemProps2.xml><?xml version="1.0" encoding="utf-8"?>
<ds:datastoreItem xmlns:ds="http://schemas.openxmlformats.org/officeDocument/2006/customXml" ds:itemID="{7A6E8D70-80C6-4194-A4A6-49E0777F49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CF42AF-38A9-4B14-BE4A-7D2E44F30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84</TotalTime>
  <Pages>3</Pages>
  <Words>6821</Words>
  <Characters>3888</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Sonata Vainauskaitė</cp:lastModifiedBy>
  <cp:revision>20</cp:revision>
  <dcterms:created xsi:type="dcterms:W3CDTF">2026-07-06T14:43:00Z</dcterms:created>
  <dcterms:modified xsi:type="dcterms:W3CDTF">2026-07-30T20:08:00Z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0x0101006BA24092F189534F8562E3DFFCD9CE1E</vt:lpwstr>
  </property>
</Properties>
</file>